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E69AB6" w14:textId="77777777" w:rsidR="00EA7559" w:rsidRPr="000519C6" w:rsidRDefault="00EA7559" w:rsidP="00EA7559">
      <w:pPr>
        <w:shd w:val="clear" w:color="auto" w:fill="FFFFFF"/>
        <w:spacing w:after="0" w:line="360" w:lineRule="auto"/>
        <w:jc w:val="center"/>
        <w:rPr>
          <w:rFonts w:ascii="Times" w:eastAsia="Times New Roman" w:hAnsi="Times"/>
          <w:b/>
          <w:bCs/>
          <w:kern w:val="0"/>
          <w:lang w:eastAsia="pl-PL"/>
        </w:rPr>
      </w:pPr>
    </w:p>
    <w:p w14:paraId="73CA15ED" w14:textId="77777777" w:rsidR="00BC6825" w:rsidRPr="00526041" w:rsidRDefault="00BC6825" w:rsidP="00BC6825">
      <w:pPr>
        <w:shd w:val="clear" w:color="auto" w:fill="FFFFFF"/>
        <w:spacing w:after="0" w:line="360" w:lineRule="auto"/>
        <w:jc w:val="center"/>
        <w:rPr>
          <w:rFonts w:ascii="Times New Roman" w:eastAsia="Times New Roman" w:hAnsi="Times New Roman"/>
          <w:b/>
          <w:bCs/>
          <w:kern w:val="0"/>
          <w:lang w:eastAsia="pl-PL"/>
        </w:rPr>
      </w:pPr>
      <w:r w:rsidRPr="00526041">
        <w:rPr>
          <w:rFonts w:ascii="Times New Roman" w:eastAsia="Times New Roman" w:hAnsi="Times New Roman"/>
          <w:b/>
          <w:bCs/>
          <w:kern w:val="0"/>
          <w:lang w:eastAsia="pl-PL"/>
        </w:rPr>
        <w:t>Katarzyna Adamczyk</w:t>
      </w:r>
    </w:p>
    <w:p w14:paraId="2AB81A4A" w14:textId="77777777" w:rsidR="00BC6825" w:rsidRPr="00544588" w:rsidRDefault="00BC6825" w:rsidP="00BC6825">
      <w:pPr>
        <w:shd w:val="clear" w:color="auto" w:fill="FFFFFF"/>
        <w:spacing w:after="0" w:line="360" w:lineRule="auto"/>
        <w:jc w:val="center"/>
        <w:rPr>
          <w:rFonts w:ascii="Times New Roman" w:eastAsia="Times New Roman" w:hAnsi="Times New Roman"/>
          <w:b/>
          <w:bCs/>
          <w:kern w:val="0"/>
          <w:lang w:eastAsia="pl-PL"/>
        </w:rPr>
      </w:pPr>
      <w:r w:rsidRPr="00526041">
        <w:rPr>
          <w:rFonts w:ascii="Times New Roman" w:eastAsia="Times New Roman" w:hAnsi="Times New Roman"/>
          <w:b/>
          <w:bCs/>
          <w:kern w:val="0"/>
          <w:lang w:eastAsia="pl-PL"/>
        </w:rPr>
        <w:t>Uniwersytet Jana Kochanowskiego w Kielcach</w:t>
      </w:r>
    </w:p>
    <w:p w14:paraId="73D53FA7" w14:textId="77777777" w:rsidR="00BC6825" w:rsidRDefault="00BC6825" w:rsidP="00BC6825">
      <w:pPr>
        <w:shd w:val="clear" w:color="auto" w:fill="FFFFFF"/>
        <w:spacing w:after="0" w:line="360" w:lineRule="auto"/>
        <w:jc w:val="center"/>
        <w:rPr>
          <w:rFonts w:ascii="Times New Roman" w:eastAsia="Times New Roman" w:hAnsi="Times New Roman"/>
          <w:b/>
          <w:bCs/>
          <w:kern w:val="0"/>
          <w:lang w:eastAsia="pl-PL"/>
        </w:rPr>
      </w:pPr>
      <w:r w:rsidRPr="00544588">
        <w:rPr>
          <w:rFonts w:ascii="Times New Roman" w:eastAsia="Times New Roman" w:hAnsi="Times New Roman"/>
          <w:b/>
          <w:bCs/>
          <w:kern w:val="0"/>
          <w:lang w:eastAsia="pl-PL"/>
        </w:rPr>
        <w:t>ORCID 0009-0004-1892-812X</w:t>
      </w:r>
    </w:p>
    <w:p w14:paraId="56F7E167" w14:textId="77777777" w:rsidR="00BC6825" w:rsidRDefault="00BC6825" w:rsidP="00BC6825">
      <w:pPr>
        <w:shd w:val="clear" w:color="auto" w:fill="FFFFFF"/>
        <w:spacing w:after="0" w:line="360" w:lineRule="auto"/>
        <w:jc w:val="center"/>
        <w:rPr>
          <w:rFonts w:ascii="Times New Roman" w:eastAsia="Times New Roman" w:hAnsi="Times New Roman"/>
          <w:b/>
          <w:bCs/>
          <w:kern w:val="0"/>
          <w:lang w:eastAsia="pl-PL"/>
        </w:rPr>
      </w:pPr>
      <w:r>
        <w:rPr>
          <w:rFonts w:ascii="Times New Roman" w:eastAsia="Times New Roman" w:hAnsi="Times New Roman"/>
          <w:b/>
          <w:bCs/>
          <w:kern w:val="0"/>
          <w:lang w:eastAsia="pl-PL"/>
        </w:rPr>
        <w:t>k.adamczyk@op.pl</w:t>
      </w:r>
    </w:p>
    <w:p w14:paraId="7E8F1072" w14:textId="77777777" w:rsidR="00BC6825" w:rsidRDefault="00BC6825" w:rsidP="00BC6825">
      <w:pPr>
        <w:shd w:val="clear" w:color="auto" w:fill="FFFFFF"/>
        <w:spacing w:after="0" w:line="360" w:lineRule="auto"/>
        <w:jc w:val="center"/>
        <w:rPr>
          <w:rFonts w:ascii="Times New Roman" w:eastAsia="Times New Roman" w:hAnsi="Times New Roman"/>
          <w:b/>
          <w:bCs/>
          <w:kern w:val="0"/>
          <w:lang w:eastAsia="pl-PL"/>
        </w:rPr>
      </w:pPr>
    </w:p>
    <w:p w14:paraId="5176D20F" w14:textId="77777777" w:rsidR="00BC6825" w:rsidRDefault="00BC6825" w:rsidP="00EA7559">
      <w:pPr>
        <w:spacing w:after="0" w:line="360" w:lineRule="auto"/>
        <w:jc w:val="center"/>
        <w:rPr>
          <w:rFonts w:ascii="Times New Roman" w:hAnsi="Times New Roman"/>
          <w:b/>
          <w:bCs/>
        </w:rPr>
      </w:pPr>
    </w:p>
    <w:p w14:paraId="566571F9" w14:textId="77777777" w:rsidR="00BC6825" w:rsidRDefault="00BC6825" w:rsidP="00BC6825">
      <w:pPr>
        <w:spacing w:after="0" w:line="360" w:lineRule="auto"/>
        <w:rPr>
          <w:rFonts w:ascii="Times New Roman" w:hAnsi="Times New Roman"/>
          <w:b/>
          <w:bCs/>
        </w:rPr>
      </w:pPr>
    </w:p>
    <w:p w14:paraId="52F0954C" w14:textId="77777777" w:rsidR="0033075D" w:rsidRDefault="0033075D" w:rsidP="00BC6825">
      <w:pPr>
        <w:spacing w:after="0" w:line="360" w:lineRule="auto"/>
        <w:rPr>
          <w:rFonts w:ascii="Times New Roman" w:hAnsi="Times New Roman"/>
          <w:b/>
          <w:bCs/>
        </w:rPr>
      </w:pPr>
    </w:p>
    <w:p w14:paraId="729C56BA" w14:textId="77777777" w:rsidR="0033075D" w:rsidRDefault="0033075D" w:rsidP="0033075D">
      <w:pPr>
        <w:spacing w:after="0" w:line="360" w:lineRule="auto"/>
        <w:jc w:val="both"/>
        <w:rPr>
          <w:rFonts w:ascii="Times New Roman" w:hAnsi="Times New Roman"/>
          <w:b/>
          <w:bCs/>
        </w:rPr>
      </w:pPr>
    </w:p>
    <w:p w14:paraId="72B820C4" w14:textId="334669EB" w:rsidR="0033075D" w:rsidRPr="00DB5D17" w:rsidRDefault="0033075D" w:rsidP="0033075D">
      <w:pPr>
        <w:spacing w:after="0" w:line="360" w:lineRule="auto"/>
        <w:jc w:val="both"/>
        <w:rPr>
          <w:rFonts w:ascii="Times New Roman" w:hAnsi="Times New Roman"/>
          <w:bCs/>
          <w:i/>
        </w:rPr>
      </w:pPr>
      <w:bookmarkStart w:id="0" w:name="_GoBack"/>
      <w:r w:rsidRPr="00DB5D17">
        <w:rPr>
          <w:rFonts w:ascii="Times New Roman" w:hAnsi="Times New Roman"/>
          <w:bCs/>
          <w:i/>
        </w:rPr>
        <w:t>Katarzyna Ada</w:t>
      </w:r>
      <w:r w:rsidR="00AA4B41">
        <w:rPr>
          <w:rFonts w:ascii="Times New Roman" w:hAnsi="Times New Roman"/>
          <w:bCs/>
          <w:i/>
        </w:rPr>
        <w:t>mczyk (mgr</w:t>
      </w:r>
      <w:r w:rsidR="008044F6">
        <w:rPr>
          <w:rFonts w:ascii="Times New Roman" w:hAnsi="Times New Roman"/>
          <w:bCs/>
          <w:i/>
        </w:rPr>
        <w:t>) – nauczycielka</w:t>
      </w:r>
      <w:r w:rsidR="00484303">
        <w:rPr>
          <w:rFonts w:ascii="Times New Roman" w:hAnsi="Times New Roman"/>
          <w:bCs/>
          <w:i/>
        </w:rPr>
        <w:t xml:space="preserve"> języka angielskiego, pedagog mediów</w:t>
      </w:r>
      <w:r w:rsidR="008044F6">
        <w:rPr>
          <w:rFonts w:ascii="Times New Roman" w:hAnsi="Times New Roman"/>
          <w:bCs/>
          <w:i/>
        </w:rPr>
        <w:t>;</w:t>
      </w:r>
      <w:r w:rsidRPr="00DB5D17">
        <w:rPr>
          <w:rFonts w:ascii="Times New Roman" w:hAnsi="Times New Roman"/>
          <w:bCs/>
          <w:i/>
        </w:rPr>
        <w:t xml:space="preserve"> działa równolegle w trzech komplementarnych obszarach edukacji: formalnej (szkoła podstawowa), pozasystemowej (szkoła językowa), oraz akademickiej (publikacje i prelekcje).</w:t>
      </w:r>
      <w:r w:rsidR="00484303">
        <w:rPr>
          <w:rFonts w:ascii="Times New Roman" w:hAnsi="Times New Roman"/>
          <w:bCs/>
          <w:i/>
        </w:rPr>
        <w:t xml:space="preserve"> </w:t>
      </w:r>
    </w:p>
    <w:bookmarkEnd w:id="0"/>
    <w:p w14:paraId="24288924" w14:textId="77777777" w:rsidR="0033075D" w:rsidRPr="00DB5D17" w:rsidRDefault="0033075D" w:rsidP="0033075D">
      <w:pPr>
        <w:spacing w:after="0" w:line="360" w:lineRule="auto"/>
        <w:jc w:val="both"/>
        <w:rPr>
          <w:rFonts w:ascii="Times New Roman" w:hAnsi="Times New Roman"/>
          <w:bCs/>
          <w:i/>
        </w:rPr>
      </w:pPr>
    </w:p>
    <w:p w14:paraId="4221F10A" w14:textId="77777777" w:rsidR="0033075D" w:rsidRPr="00DB5D17" w:rsidRDefault="0033075D" w:rsidP="0033075D">
      <w:pPr>
        <w:spacing w:after="0" w:line="360" w:lineRule="auto"/>
        <w:jc w:val="both"/>
        <w:rPr>
          <w:rFonts w:ascii="Times New Roman" w:hAnsi="Times New Roman"/>
          <w:bCs/>
          <w:i/>
        </w:rPr>
      </w:pPr>
    </w:p>
    <w:p w14:paraId="0CD24636" w14:textId="77777777" w:rsidR="00BC6825" w:rsidRPr="0033075D" w:rsidRDefault="00BC6825" w:rsidP="00EA7559">
      <w:pPr>
        <w:spacing w:after="0" w:line="360" w:lineRule="auto"/>
        <w:jc w:val="center"/>
        <w:rPr>
          <w:rFonts w:ascii="Times New Roman" w:hAnsi="Times New Roman"/>
          <w:b/>
          <w:bCs/>
          <w:sz w:val="28"/>
          <w:szCs w:val="28"/>
        </w:rPr>
      </w:pPr>
    </w:p>
    <w:p w14:paraId="79DC368B" w14:textId="77777777" w:rsidR="00EA7559" w:rsidRPr="0033075D" w:rsidRDefault="00EA7559" w:rsidP="00EA7559">
      <w:pPr>
        <w:spacing w:after="0" w:line="360" w:lineRule="auto"/>
        <w:jc w:val="center"/>
        <w:rPr>
          <w:rFonts w:ascii="Times" w:hAnsi="Times"/>
          <w:b/>
          <w:bCs/>
          <w:sz w:val="28"/>
          <w:szCs w:val="28"/>
        </w:rPr>
      </w:pPr>
      <w:r w:rsidRPr="0033075D">
        <w:rPr>
          <w:rFonts w:ascii="Times" w:hAnsi="Times"/>
          <w:b/>
          <w:bCs/>
          <w:sz w:val="28"/>
          <w:szCs w:val="28"/>
        </w:rPr>
        <w:t>TikTok jako współczesny mediator kultury młodzieżowej: znaczenie wychowawcze i konsekwencje pedagogiczne</w:t>
      </w:r>
    </w:p>
    <w:p w14:paraId="102563CA" w14:textId="77777777" w:rsidR="00EA7559" w:rsidRDefault="00EA7559" w:rsidP="00EA7559">
      <w:pPr>
        <w:shd w:val="clear" w:color="auto" w:fill="FFFFFF"/>
        <w:spacing w:after="0" w:line="360" w:lineRule="auto"/>
        <w:jc w:val="both"/>
        <w:rPr>
          <w:rFonts w:ascii="Times New Roman" w:eastAsia="Times New Roman" w:hAnsi="Times New Roman"/>
          <w:b/>
          <w:bCs/>
          <w:kern w:val="0"/>
          <w:lang w:eastAsia="pl-PL"/>
        </w:rPr>
      </w:pPr>
    </w:p>
    <w:p w14:paraId="05720870" w14:textId="77777777" w:rsidR="00EA7559" w:rsidRPr="000519C6" w:rsidRDefault="00EA7559" w:rsidP="00EA7559">
      <w:pPr>
        <w:shd w:val="clear" w:color="auto" w:fill="FFFFFF"/>
        <w:spacing w:after="0" w:line="360" w:lineRule="auto"/>
        <w:jc w:val="center"/>
        <w:rPr>
          <w:rFonts w:ascii="Times" w:eastAsia="Times New Roman" w:hAnsi="Times"/>
          <w:b/>
          <w:bCs/>
          <w:kern w:val="0"/>
          <w:lang w:eastAsia="pl-PL"/>
        </w:rPr>
      </w:pPr>
    </w:p>
    <w:p w14:paraId="02BA722E" w14:textId="77777777" w:rsidR="00EA7559" w:rsidRPr="000519C6" w:rsidRDefault="00EA7559" w:rsidP="00EA7559">
      <w:pPr>
        <w:spacing w:after="0" w:line="360" w:lineRule="auto"/>
        <w:rPr>
          <w:rFonts w:ascii="Times" w:hAnsi="Times"/>
          <w:b/>
          <w:bCs/>
        </w:rPr>
      </w:pPr>
    </w:p>
    <w:p w14:paraId="45BAF8BF" w14:textId="77777777" w:rsidR="00EA7559" w:rsidRPr="000519C6" w:rsidRDefault="00EA7559" w:rsidP="00EA7559">
      <w:pPr>
        <w:spacing w:after="0" w:line="360" w:lineRule="auto"/>
        <w:jc w:val="both"/>
        <w:rPr>
          <w:rFonts w:ascii="Times" w:hAnsi="Times"/>
          <w:b/>
          <w:bCs/>
        </w:rPr>
      </w:pPr>
    </w:p>
    <w:p w14:paraId="30E58D68" w14:textId="77777777" w:rsidR="00EA7559" w:rsidRPr="000519C6" w:rsidRDefault="00EA7559" w:rsidP="00EA7559">
      <w:pPr>
        <w:spacing w:after="0" w:line="360" w:lineRule="auto"/>
        <w:jc w:val="both"/>
        <w:rPr>
          <w:rFonts w:ascii="Times" w:hAnsi="Times"/>
          <w:b/>
          <w:bCs/>
        </w:rPr>
      </w:pPr>
    </w:p>
    <w:p w14:paraId="716EAD57" w14:textId="77777777" w:rsidR="00EA7559" w:rsidRPr="000519C6" w:rsidRDefault="00EA7559" w:rsidP="00EA7559">
      <w:pPr>
        <w:spacing w:after="0" w:line="360" w:lineRule="auto"/>
        <w:jc w:val="both"/>
        <w:rPr>
          <w:rFonts w:ascii="Times" w:hAnsi="Times"/>
          <w:b/>
          <w:bCs/>
        </w:rPr>
      </w:pPr>
      <w:r w:rsidRPr="000519C6">
        <w:rPr>
          <w:rFonts w:ascii="Times" w:hAnsi="Times"/>
          <w:b/>
          <w:bCs/>
        </w:rPr>
        <w:t>Streszczenie</w:t>
      </w:r>
    </w:p>
    <w:p w14:paraId="3DFCC549" w14:textId="77777777" w:rsidR="00EA7559" w:rsidRPr="000519C6" w:rsidRDefault="00EA7559" w:rsidP="00EA7559">
      <w:pPr>
        <w:spacing w:after="0" w:line="360" w:lineRule="auto"/>
        <w:jc w:val="both"/>
        <w:rPr>
          <w:rFonts w:ascii="Times" w:hAnsi="Times"/>
          <w:b/>
          <w:bCs/>
        </w:rPr>
      </w:pPr>
    </w:p>
    <w:p w14:paraId="252963E7"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r w:rsidRPr="000519C6">
        <w:rPr>
          <w:rFonts w:ascii="Times" w:hAnsi="Times"/>
          <w:bCs/>
        </w:rPr>
        <w:t xml:space="preserve">Artykuł podejmuje problematykę serwisu TikTok jako współczesnego mediatora kultury młodzieżowej, ze szczególnym uwzględnieniem jego znaczenia wychowawczego oraz konsekwencji pedagogicznych. TikTok jako jedna z najpopularniejszych platform społecznościowych wśród młodych użytkowników pełni istotną rolę w procesach socjalizacji, kształtowania tożsamości oraz transmisji norm, wartości i wzorców zachowań. Aplikacja ta nie jest jedynie narzędziem rozrywki, lecz także przestrzenią intensywnej edukacji nieformalnej, w której młodzież uczy się poprzez obserwację, naśladownictwo i uczestnictwo w trendach kulturowych. W artykule analizowane są mechanizmy oddziaływania TikToka na </w:t>
      </w:r>
      <w:r w:rsidRPr="000519C6">
        <w:rPr>
          <w:rFonts w:ascii="Times" w:hAnsi="Times"/>
          <w:bCs/>
        </w:rPr>
        <w:lastRenderedPageBreak/>
        <w:t>młodych odbiorców, w tym rola algorytmów, krótkich form audiowizualnych oraz kultury viralu. Zwrócono uwagę na wychowawczy potencjał platformy, przejawiający się między innymi w możliwości rozwijania kreatywności, ekspresji własnej, kompetencji cyfrowych oraz poczucia przynależności do grupy rówieśniczej. Jednocześnie wskazano na zagrożenia pedagogiczne, takie jak: powierzchowność przekazu, utrwalanie uproszczonych wzorców kulturowych, presja popularności, normalizacja ryzykownych zachowań czy trudności w krytycznej ocenie treści. Artykuł podkreśla konieczność uwzględnienia TikToka w refleksji pedagogicznej oraz w działaniach wychowawczych i edukacyjnych. Wskazuje na potrzebę rozwijania kompetencji medialnych młodzieży, na rolę edukacji medialnej we współczesnym świecie, a także przygotowania nauczycieli i wychowawców do świadomego i odpowiedzialnego towarzyszenia młodym ludziom w ich funkcjonowaniu w środowisku mediów społecznościowych. TikTok zostaje ukazany jako istotny element współczesnej kultury młodzieżowej, którego wpływ wychowawczy wymaga zarówno krytycznej analizy, jak i pedagogicznego wykorzystani.</w:t>
      </w:r>
    </w:p>
    <w:p w14:paraId="3FEA5B5A" w14:textId="77777777" w:rsidR="00EA7559" w:rsidRDefault="00EA7559" w:rsidP="00EA7559">
      <w:pPr>
        <w:pStyle w:val="NormalnyWeb"/>
        <w:shd w:val="clear" w:color="auto" w:fill="FFFFFF"/>
        <w:spacing w:line="360" w:lineRule="auto"/>
        <w:jc w:val="both"/>
        <w:rPr>
          <w:rFonts w:ascii="Times New Roman" w:hAnsi="Times New Roman"/>
          <w:bCs/>
          <w:sz w:val="24"/>
          <w:szCs w:val="24"/>
        </w:rPr>
      </w:pPr>
      <w:r w:rsidRPr="000519C6">
        <w:rPr>
          <w:b/>
          <w:sz w:val="24"/>
          <w:szCs w:val="24"/>
        </w:rPr>
        <w:t xml:space="preserve">Słowa kluczowe: </w:t>
      </w:r>
      <w:r w:rsidRPr="000519C6">
        <w:rPr>
          <w:sz w:val="24"/>
          <w:szCs w:val="24"/>
        </w:rPr>
        <w:t>TikTok,</w:t>
      </w:r>
      <w:r w:rsidRPr="000519C6">
        <w:rPr>
          <w:b/>
          <w:sz w:val="24"/>
          <w:szCs w:val="24"/>
        </w:rPr>
        <w:t xml:space="preserve"> </w:t>
      </w:r>
      <w:r w:rsidRPr="000519C6">
        <w:rPr>
          <w:sz w:val="24"/>
          <w:szCs w:val="24"/>
        </w:rPr>
        <w:t>kultura młodzieżowa,</w:t>
      </w:r>
      <w:r w:rsidRPr="000519C6">
        <w:rPr>
          <w:b/>
          <w:sz w:val="24"/>
          <w:szCs w:val="24"/>
        </w:rPr>
        <w:t xml:space="preserve"> </w:t>
      </w:r>
      <w:r w:rsidRPr="000519C6">
        <w:rPr>
          <w:sz w:val="24"/>
          <w:szCs w:val="24"/>
        </w:rPr>
        <w:t>algorytmy,</w:t>
      </w:r>
      <w:r w:rsidRPr="000519C6">
        <w:rPr>
          <w:b/>
          <w:sz w:val="24"/>
          <w:szCs w:val="24"/>
        </w:rPr>
        <w:t xml:space="preserve"> </w:t>
      </w:r>
      <w:r w:rsidRPr="000519C6">
        <w:rPr>
          <w:sz w:val="24"/>
          <w:szCs w:val="24"/>
        </w:rPr>
        <w:t xml:space="preserve">edukacja medialna, kompetencje medialne, kompetencje cyfrowe, </w:t>
      </w:r>
      <w:r w:rsidRPr="000519C6">
        <w:rPr>
          <w:bCs/>
          <w:sz w:val="24"/>
          <w:szCs w:val="24"/>
        </w:rPr>
        <w:t>umiejętność krytycznego odbioru mediów, nowe technologie w edukacji.</w:t>
      </w:r>
    </w:p>
    <w:p w14:paraId="1CBF5BA5" w14:textId="77777777" w:rsidR="00EA7559" w:rsidRPr="007B11C6" w:rsidRDefault="00EA7559" w:rsidP="00EA7559">
      <w:pPr>
        <w:pStyle w:val="NormalnyWeb"/>
        <w:shd w:val="clear" w:color="auto" w:fill="FFFFFF"/>
        <w:spacing w:line="360" w:lineRule="auto"/>
        <w:jc w:val="both"/>
        <w:rPr>
          <w:rFonts w:ascii="Times New Roman" w:hAnsi="Times New Roman"/>
          <w:bCs/>
          <w:sz w:val="24"/>
          <w:szCs w:val="24"/>
        </w:rPr>
      </w:pPr>
    </w:p>
    <w:p w14:paraId="742B9B82" w14:textId="77777777" w:rsidR="00EA7559" w:rsidRPr="007B11C6" w:rsidRDefault="00EA7559" w:rsidP="00EA7559">
      <w:pPr>
        <w:shd w:val="clear" w:color="auto" w:fill="FFFFFF"/>
        <w:spacing w:after="0" w:line="360" w:lineRule="auto"/>
        <w:jc w:val="center"/>
        <w:rPr>
          <w:rFonts w:ascii="Times New Roman" w:eastAsia="Times New Roman" w:hAnsi="Times New Roman"/>
          <w:b/>
          <w:bCs/>
          <w:kern w:val="0"/>
          <w:lang w:eastAsia="pl-PL"/>
        </w:rPr>
      </w:pPr>
      <w:r w:rsidRPr="007B11C6">
        <w:rPr>
          <w:rFonts w:ascii="Times New Roman" w:eastAsia="Times New Roman" w:hAnsi="Times New Roman"/>
          <w:b/>
          <w:bCs/>
          <w:kern w:val="0"/>
          <w:lang w:eastAsia="pl-PL"/>
        </w:rPr>
        <w:t>TikTok as a contemporary mediator of youth culture: educational significance and pedagogical consequences</w:t>
      </w:r>
    </w:p>
    <w:p w14:paraId="47F9D0DF" w14:textId="77777777" w:rsidR="00EA7559" w:rsidRPr="000519C6" w:rsidRDefault="00EA7559" w:rsidP="00EA7559">
      <w:pPr>
        <w:shd w:val="clear" w:color="auto" w:fill="FFFFFF"/>
        <w:spacing w:after="0" w:line="360" w:lineRule="auto"/>
        <w:jc w:val="center"/>
        <w:rPr>
          <w:rFonts w:ascii="Times" w:eastAsia="Times New Roman" w:hAnsi="Times"/>
          <w:b/>
          <w:bCs/>
          <w:kern w:val="0"/>
          <w:lang w:eastAsia="pl-PL"/>
        </w:rPr>
      </w:pPr>
    </w:p>
    <w:p w14:paraId="55CEE496" w14:textId="77777777" w:rsidR="00EA7559" w:rsidRPr="000519C6" w:rsidRDefault="00EA7559" w:rsidP="00EA7559">
      <w:pPr>
        <w:pStyle w:val="NormalnyWeb"/>
        <w:shd w:val="clear" w:color="auto" w:fill="FFFFFF"/>
        <w:spacing w:line="360" w:lineRule="auto"/>
        <w:jc w:val="both"/>
        <w:rPr>
          <w:bCs/>
          <w:sz w:val="24"/>
          <w:szCs w:val="24"/>
        </w:rPr>
      </w:pPr>
    </w:p>
    <w:p w14:paraId="7D2425B5" w14:textId="77777777" w:rsidR="00EA7559" w:rsidRPr="000519C6" w:rsidRDefault="00EA7559" w:rsidP="00EA7559">
      <w:pPr>
        <w:pStyle w:val="NormalnyWeb"/>
        <w:shd w:val="clear" w:color="auto" w:fill="FFFFFF"/>
        <w:spacing w:line="360" w:lineRule="auto"/>
        <w:jc w:val="both"/>
        <w:rPr>
          <w:b/>
          <w:bCs/>
          <w:sz w:val="24"/>
          <w:szCs w:val="24"/>
        </w:rPr>
      </w:pPr>
      <w:r w:rsidRPr="000519C6">
        <w:rPr>
          <w:b/>
          <w:bCs/>
          <w:sz w:val="24"/>
          <w:szCs w:val="24"/>
        </w:rPr>
        <w:t>Abstract</w:t>
      </w:r>
    </w:p>
    <w:p w14:paraId="6EC77B13" w14:textId="77777777" w:rsidR="00EA7559" w:rsidRPr="000519C6" w:rsidRDefault="00EA7559" w:rsidP="00EA7559">
      <w:pPr>
        <w:pStyle w:val="NormalnyWeb"/>
        <w:shd w:val="clear" w:color="auto" w:fill="FFFFFF"/>
        <w:spacing w:line="360" w:lineRule="auto"/>
        <w:jc w:val="both"/>
        <w:rPr>
          <w:bCs/>
          <w:sz w:val="24"/>
          <w:szCs w:val="24"/>
        </w:rPr>
      </w:pPr>
      <w:r w:rsidRPr="000519C6">
        <w:rPr>
          <w:bCs/>
          <w:sz w:val="24"/>
          <w:szCs w:val="24"/>
        </w:rPr>
        <w:t>This article examines TikTok as a contemporary mediator of youth culture, with particular emphasis on its educational significance and pedagogical implications. TikTok as one of the most popular social media platforms play a significant role among young users in socialization, identity formation, and the transmission of norms, values, and behavioral patterns. This application is not merely an entertainment tool, but also a space for intensive informal education, where young people learn through observation, imitation, and participation in cultural trends. This article analyses the mechanisms by which TikTok influences young audiences, including the role of algorithms, short audiovisual forms, and viral culture. It highlights the platform's educational potential, which manifests itself, among other things, in the development of creativity, self-expression, digital literacy, and a sense of belonging to a peer group. At the same time, pedagogical threats are highlighted, such as the superficiality of the message, the perpetuation of simplified cultural patterns, the pressure of popularity, the normalization of risky behavior, and the difficulties of critically evaluating content. The article emphasizes the need to incorporate TikTok into pedagogical reflection and educational activities. It highlights the need to develop youth's media literacy, the role of media education in the contemporary world, and the need to prepare teachers and educators to consciously and responsibly accompany young people as they navigate the social media landscape. TikTok is presented as a significant element of contemporary youth culture, whose educational impact requires both critical analysis and pedagogical utilization.</w:t>
      </w:r>
    </w:p>
    <w:p w14:paraId="75C97E83" w14:textId="77777777" w:rsidR="00EA7559" w:rsidRPr="000519C6" w:rsidRDefault="00EA7559" w:rsidP="00EA7559">
      <w:pPr>
        <w:pStyle w:val="NormalnyWeb"/>
        <w:shd w:val="clear" w:color="auto" w:fill="FFFFFF"/>
        <w:spacing w:line="360" w:lineRule="auto"/>
        <w:jc w:val="both"/>
        <w:rPr>
          <w:bCs/>
          <w:sz w:val="24"/>
          <w:szCs w:val="24"/>
        </w:rPr>
      </w:pPr>
    </w:p>
    <w:p w14:paraId="4E07561C" w14:textId="77777777" w:rsidR="00EA7559" w:rsidRPr="000519C6" w:rsidRDefault="00EA7559" w:rsidP="00EA7559">
      <w:pPr>
        <w:pStyle w:val="NormalnyWeb"/>
        <w:shd w:val="clear" w:color="auto" w:fill="FFFFFF"/>
        <w:spacing w:line="360" w:lineRule="auto"/>
        <w:jc w:val="both"/>
        <w:rPr>
          <w:bCs/>
          <w:sz w:val="24"/>
          <w:szCs w:val="24"/>
        </w:rPr>
      </w:pPr>
      <w:r w:rsidRPr="000519C6">
        <w:rPr>
          <w:b/>
          <w:bCs/>
          <w:sz w:val="24"/>
          <w:szCs w:val="24"/>
        </w:rPr>
        <w:t>Key words:</w:t>
      </w:r>
      <w:r w:rsidRPr="000519C6">
        <w:rPr>
          <w:bCs/>
          <w:sz w:val="24"/>
          <w:szCs w:val="24"/>
        </w:rPr>
        <w:t xml:space="preserve"> TikTok, media education, youth culture, media literacy, the ability to critically perceive the media</w:t>
      </w:r>
    </w:p>
    <w:p w14:paraId="0A7F4704" w14:textId="77777777" w:rsidR="00EA7559" w:rsidRPr="000519C6" w:rsidRDefault="00EA7559" w:rsidP="00EA7559">
      <w:pPr>
        <w:spacing w:after="0" w:line="360" w:lineRule="auto"/>
        <w:jc w:val="both"/>
        <w:rPr>
          <w:rFonts w:ascii="Times" w:hAnsi="Times"/>
          <w:bCs/>
        </w:rPr>
      </w:pPr>
    </w:p>
    <w:p w14:paraId="4FD42BEF" w14:textId="77777777" w:rsidR="00EA7559" w:rsidRPr="000519C6" w:rsidRDefault="00EA7559" w:rsidP="00EA7559">
      <w:pPr>
        <w:numPr>
          <w:ilvl w:val="0"/>
          <w:numId w:val="2"/>
        </w:numPr>
        <w:spacing w:after="0" w:line="360" w:lineRule="auto"/>
        <w:jc w:val="both"/>
        <w:rPr>
          <w:rFonts w:ascii="Times" w:hAnsi="Times"/>
          <w:b/>
          <w:bCs/>
        </w:rPr>
      </w:pPr>
      <w:r w:rsidRPr="000519C6">
        <w:rPr>
          <w:rFonts w:ascii="Times" w:hAnsi="Times"/>
          <w:b/>
          <w:bCs/>
        </w:rPr>
        <w:t xml:space="preserve">Wprowadzenie  </w:t>
      </w:r>
    </w:p>
    <w:p w14:paraId="19A6549B" w14:textId="77777777" w:rsidR="00EA7559" w:rsidRPr="000519C6" w:rsidRDefault="00EA7559" w:rsidP="00EA7559">
      <w:pPr>
        <w:spacing w:after="0" w:line="360" w:lineRule="auto"/>
        <w:jc w:val="both"/>
        <w:rPr>
          <w:rFonts w:ascii="Times" w:hAnsi="Times"/>
          <w:b/>
        </w:rPr>
      </w:pPr>
    </w:p>
    <w:p w14:paraId="1D087D8D" w14:textId="77777777" w:rsidR="00EA7559" w:rsidRPr="000519C6" w:rsidRDefault="00EA7559" w:rsidP="00EA7559">
      <w:pPr>
        <w:spacing w:after="0" w:line="360" w:lineRule="auto"/>
        <w:jc w:val="both"/>
        <w:rPr>
          <w:rFonts w:ascii="Times" w:hAnsi="Times"/>
          <w:bCs/>
        </w:rPr>
      </w:pPr>
      <w:r w:rsidRPr="000519C6">
        <w:rPr>
          <w:rFonts w:ascii="Times" w:hAnsi="Times"/>
        </w:rPr>
        <w:t xml:space="preserve">Współczesna kultura młodzieżowa kształtowana jest w znacznym stopniu przez media cyfrowe, a w szczególności przez platformy społecznościowe oparte na komunikacji audiowizualnej. Jednym z najważniejszych zjawisk ostatnich lat jest dynamiczny rozwój serwisu TikTok, który stał się dominującą przestrzenią ekspresji, komunikacji oraz socjalizacji młodego pokolenia jako aplikacja dominująca wśród nastolatków, wypierając wcześniejsze platformy takie jak Instagram czy YouTube. Jego specyfika, algorytmiczna personalizacja treści, format krótkich klipów oraz nacisk na rytm i dźwięk prowadzi do unikalnych sposobów uczesnictwa i espresji młodych użytkowników. Coraz więcej badań wskazuje, że TikTok nie tylko odzwierciedla trendy kulturowe, lecz także aktywnie je formuje, z istotnymi implikacjami edukacyjnymi i wychowawczymi. Platforma ta pełni funkcję nie tylko rozrywkową, lecz także kulturotwórczą i wychowawczą, wpływając na sposób postrzegania świata, budowania tożsamości oraz internalizacji norm społecznych przez młodzież. Współczesna edukacja stoi przed wyzwaniem przystosowania się do funkcjonowania w przestrzeni cyfrowej. Procesy cyfryzacji i konwergencji informacji wpływają nie tylko na sposób komunikowania się uczniów, ale również na strukturę poznawczą i społeczną młodego pokolenia (Bughingham, 2003). </w:t>
      </w:r>
      <w:r w:rsidRPr="000519C6">
        <w:rPr>
          <w:rFonts w:ascii="Times" w:eastAsiaTheme="minorEastAsia" w:hAnsi="Times"/>
          <w:kern w:val="0"/>
          <w:lang w:val="en-US" w:eastAsia="pl-PL"/>
        </w:rPr>
        <w:t xml:space="preserve">Zmieniający się dynamicznie świat nie pozostaje bez wpływu na system edukacji, wymuszając zdefniowanie na nowo roli szkoły, zadań jej dyrektora i nauczycieli. </w:t>
      </w:r>
      <w:r w:rsidRPr="000519C6">
        <w:rPr>
          <w:rFonts w:ascii="Times" w:hAnsi="Times"/>
        </w:rPr>
        <w:t xml:space="preserve">Uczniowie nie są tylko odbiorcami treści medialnych, lecz także ich aktywnymi twórcami. W tym kontekście edukacja medialna zyskuje na znaczeniu jako narzędzie kształtowania kompetencji komunikacyjnych, krytycznych oraz obywatelskich (Tanaś, 2017). Zasadniczym celem edukacji medialnej jest wychowanie do świadomego i krytycznego odbioru przekazu medialnego. Ma ona zarówno aspekt dydaktyczny, jak i wychowawczy. Edukacja medialna powinna zmierzać do ukształtowania u odbiorcy określonych kompetencji w korzystaniu z mediów, co oznacza krytyczną analizę i recepcję treści przez nie przekazywanych. (Smyl i in., 2007) W kontekście edukacji medialnej nauczyciel pełni rolę nie tylko edukatora, lecz również przewodnika i animatora działań twórczych (Zając, 2021). Edukacja medialna w kontekście szkolnym nabiera dziś charakteru międzyprzedmiotowego, często hybrydycznego – łącząc elementy edukacji obywatelskiej, cyfrowej, artystycznej i filozoficznej (Janta, 2020). </w:t>
      </w:r>
    </w:p>
    <w:p w14:paraId="69C54963" w14:textId="77777777" w:rsidR="00EA7559" w:rsidRPr="000519C6" w:rsidRDefault="00EA7559" w:rsidP="00EA7559">
      <w:pPr>
        <w:widowControl w:val="0"/>
        <w:autoSpaceDE w:val="0"/>
        <w:autoSpaceDN w:val="0"/>
        <w:adjustRightInd w:val="0"/>
        <w:spacing w:after="240" w:line="360" w:lineRule="auto"/>
        <w:jc w:val="both"/>
        <w:rPr>
          <w:rFonts w:ascii="Times" w:eastAsiaTheme="minorEastAsia" w:hAnsi="Times"/>
          <w:kern w:val="0"/>
          <w:lang w:val="en-US" w:eastAsia="pl-PL"/>
        </w:rPr>
      </w:pPr>
      <w:r w:rsidRPr="000519C6">
        <w:rPr>
          <w:rFonts w:ascii="Times" w:eastAsiaTheme="minorEastAsia" w:hAnsi="Times"/>
          <w:kern w:val="0"/>
          <w:lang w:val="en-US" w:eastAsia="pl-PL"/>
        </w:rPr>
        <w:tab/>
        <w:t>Celem niniejszego artykułu jest analiza TikToka jako współczesnego mediatora kultury młodzieżowej, ze szczególnym uwzględnieniem jego znaczenia wychowawczego oraz konsekwencji pedagogicznych. TikTok zostaje ukazany jako przestrzeń edukacji nieformalnej, wymagająca refleksji pedagogicznej oraz świadomego zaangażowania środwisk wychowawczych. Ze względu na rosnącą popularność platforma staje się ważnym obszarem badań pedagogicznych i medioznawczych. W artykule podjęto próbę ukazania jakie przemiany kultury młodzieżowej dokonują się pod wpływem TikToka i jakie wnioski wychowawcze wynikają z ich analizy.</w:t>
      </w:r>
    </w:p>
    <w:p w14:paraId="509D3986" w14:textId="77777777" w:rsidR="00EA7559" w:rsidRPr="000519C6" w:rsidRDefault="00EA7559" w:rsidP="00EA7559">
      <w:pPr>
        <w:spacing w:after="0" w:line="360" w:lineRule="auto"/>
        <w:jc w:val="both"/>
        <w:rPr>
          <w:rFonts w:ascii="Times" w:hAnsi="Times"/>
        </w:rPr>
      </w:pPr>
    </w:p>
    <w:p w14:paraId="3AB4AC5C" w14:textId="77777777" w:rsidR="00EA7559" w:rsidRPr="000519C6" w:rsidRDefault="00EA7559" w:rsidP="00EA7559">
      <w:pPr>
        <w:spacing w:after="0" w:line="360" w:lineRule="auto"/>
        <w:jc w:val="both"/>
        <w:rPr>
          <w:rFonts w:ascii="Times" w:hAnsi="Times"/>
        </w:rPr>
      </w:pPr>
    </w:p>
    <w:p w14:paraId="404527BA" w14:textId="2CF89924" w:rsidR="00EA7559" w:rsidRPr="000519C6" w:rsidRDefault="00EA7559" w:rsidP="00EA7559">
      <w:pPr>
        <w:spacing w:after="0" w:line="360" w:lineRule="auto"/>
        <w:jc w:val="both"/>
        <w:rPr>
          <w:rFonts w:ascii="Times" w:hAnsi="Times"/>
          <w:b/>
        </w:rPr>
      </w:pPr>
      <w:r w:rsidRPr="000519C6">
        <w:rPr>
          <w:rFonts w:ascii="Times" w:hAnsi="Times"/>
          <w:b/>
        </w:rPr>
        <w:t xml:space="preserve"> 2. Metodologia , cele artykułu przeglądoweg</w:t>
      </w:r>
      <w:r w:rsidR="007E517C">
        <w:rPr>
          <w:rFonts w:ascii="Times" w:hAnsi="Times"/>
          <w:b/>
        </w:rPr>
        <w:t>o i pytania przewodnie</w:t>
      </w:r>
      <w:r w:rsidRPr="000519C6">
        <w:rPr>
          <w:rFonts w:ascii="Times" w:hAnsi="Times"/>
          <w:b/>
        </w:rPr>
        <w:t>.</w:t>
      </w:r>
    </w:p>
    <w:p w14:paraId="3811F066" w14:textId="77777777" w:rsidR="00EA7559" w:rsidRPr="000519C6" w:rsidRDefault="00EA7559" w:rsidP="00EA7559">
      <w:pPr>
        <w:spacing w:after="0" w:line="360" w:lineRule="auto"/>
        <w:jc w:val="both"/>
        <w:rPr>
          <w:rFonts w:ascii="Times" w:hAnsi="Times"/>
          <w:b/>
        </w:rPr>
      </w:pPr>
    </w:p>
    <w:p w14:paraId="23404D20" w14:textId="77777777" w:rsidR="00EA7559" w:rsidRPr="000519C6" w:rsidRDefault="00EA7559" w:rsidP="00EA7559">
      <w:pPr>
        <w:spacing w:after="0" w:line="360" w:lineRule="auto"/>
        <w:jc w:val="both"/>
        <w:rPr>
          <w:rFonts w:ascii="Times" w:hAnsi="Times"/>
        </w:rPr>
      </w:pPr>
    </w:p>
    <w:p w14:paraId="74DB96D2" w14:textId="77777777" w:rsidR="00EA7559" w:rsidRPr="000519C6" w:rsidRDefault="00EA7559" w:rsidP="00EA7559">
      <w:pPr>
        <w:spacing w:after="0" w:line="360" w:lineRule="auto"/>
        <w:jc w:val="both"/>
        <w:rPr>
          <w:rFonts w:ascii="Times" w:hAnsi="Times"/>
        </w:rPr>
      </w:pPr>
      <w:r w:rsidRPr="000519C6">
        <w:rPr>
          <w:rFonts w:ascii="Times" w:hAnsi="Times"/>
        </w:rPr>
        <w:tab/>
        <w:t>W artykule zastosowano metodologię jakościową opartą na analizie treści (desk research) oraz netnografii. Przedmiotem analizy były wybrane treści publikowane na platformie TikTok, popularne wśród młodzieży w wieku 12-15 lat. Badanie miało na celu identyfikację dominujących wzorców kulturowych oraz ich potencjalnego znaczenia wychowawczego. Uzupełnieniem analizy była krytyczna analiza literatury z zakresu pedagogiki medialnej i socjologii kultury. Zgodnie z ujęcie Stefana Nowaka, „metoda badań obejmuje „typowe i powtarzalne sposoby zbierania, opisywania, analizy i interpretacji danych empirycznych, służących do uzyskiwania maksymalnie (lub optymalnie […]) uzasadnionych odpowiedzi na stawiane w nich pytania” (Nowak, 2011). Takie też rozumienie metody przyjęto na potrzeby projektowanych badań.</w:t>
      </w:r>
    </w:p>
    <w:p w14:paraId="2735DA18" w14:textId="77777777" w:rsidR="00EA7559" w:rsidRPr="000519C6" w:rsidRDefault="00EA7559" w:rsidP="00EA7559">
      <w:pPr>
        <w:spacing w:line="360" w:lineRule="auto"/>
        <w:jc w:val="both"/>
        <w:rPr>
          <w:rFonts w:ascii="Times" w:eastAsia="Times New Roman" w:hAnsi="Times"/>
          <w:kern w:val="0"/>
          <w:lang w:eastAsia="pl-PL"/>
        </w:rPr>
      </w:pPr>
      <w:r w:rsidRPr="000519C6">
        <w:rPr>
          <w:rFonts w:ascii="Times" w:hAnsi="Times"/>
        </w:rPr>
        <w:tab/>
        <w:t>Badanie ma charakter desk research, co oznacza analizę istniejącej literatury naukowej. W artykule wykorzystano publikacje naukowe z zakresu: pedagogiki, pedagogiki medialnej, socjologii młodzieży, badań nad mediami cyfrowymi, raporty dotyczące korzystania z mediów społecznościowych przez młodzież, opracowania teoretyczne dotyczące socjalizacji i wychowania. Źródła danych to: artykuły naukowe publikowane w czasopismach akademickich, raporty organizacji międzynarodowych. Według E. Babbie (2003) jest to metoda niereaktywna polegająca na analizie treści wytworów zastanych: różnego rodzaju klas dokumentów  ( ekspertyzy, prognozy, zestawienia, dokumenty obrazujące procesy decyzyjne itp.)</w:t>
      </w:r>
      <w:r w:rsidRPr="000519C6">
        <w:rPr>
          <w:rFonts w:ascii="Times" w:hAnsi="Times"/>
          <w:vertAlign w:val="superscript"/>
        </w:rPr>
        <w:t xml:space="preserve"> </w:t>
      </w:r>
      <w:r w:rsidRPr="000519C6">
        <w:rPr>
          <w:rFonts w:ascii="Times" w:hAnsi="Times"/>
        </w:rPr>
        <w:t xml:space="preserve">(Babbie, 2006) Przedmiotem analizy w ramach omawianej metody były dokumenty  dostępne tak w wersji tradycyjnej, jak i cyfrowej, w zakresie dotyczącym podjętej problematyki badawczej (Markowska, 2013). </w:t>
      </w:r>
      <w:r w:rsidRPr="000519C6">
        <w:rPr>
          <w:rFonts w:ascii="Times" w:eastAsia="Times New Roman" w:hAnsi="Times"/>
          <w:kern w:val="0"/>
          <w:lang w:eastAsia="pl-PL"/>
        </w:rPr>
        <w:t>Celem analizy jest określenie pojęcia kultury młodzieżowej, wskazanie roli mediów społecznościowych w procesach wychowawczych, osadzenie TikToka w szerszym kontekście kulturowym i edukacyjnym. Artykuł wykorzystuje jakościową analizę treści wybranych zjawisk obecnych na platformie TikTok, takich jak: dominujące trendy, popularne formaty vido, charakterystyczny język i symbole, narracje dotyczące tożsamości i relacji. Analiza ma charakter opisowo – interpretacyjny i służy identyfikacji potencjalnych znaczeń wychowawczych (pozytywnych i negatywnych) jakie niosą ze sobą treści dostępne dla młodzieży na platformie. Nie jest to badanie empiryczne, lecz analiza kulturowa oparta na obserwacji zjawisk i na pracy z młodzieżą w oparciu o dorobek nauk pedagogicznych i społecznych.</w:t>
      </w:r>
    </w:p>
    <w:p w14:paraId="57FCA275" w14:textId="77777777" w:rsidR="00EA7559" w:rsidRPr="000519C6" w:rsidRDefault="00EA7559" w:rsidP="00EA7559">
      <w:pPr>
        <w:spacing w:line="360" w:lineRule="auto"/>
        <w:jc w:val="both"/>
        <w:rPr>
          <w:rFonts w:ascii="Times" w:eastAsia="Times New Roman" w:hAnsi="Times"/>
          <w:kern w:val="0"/>
          <w:lang w:eastAsia="pl-PL"/>
        </w:rPr>
      </w:pPr>
      <w:r w:rsidRPr="000519C6">
        <w:rPr>
          <w:rFonts w:ascii="Times" w:eastAsia="Times New Roman" w:hAnsi="Times"/>
          <w:kern w:val="0"/>
          <w:lang w:eastAsia="pl-PL"/>
        </w:rPr>
        <w:tab/>
        <w:t>Interpretacja analizowanych treści została przeprowadzona z perspektywy: pedagogiki wychowania, pedagogiki medialnej, teorii socjalizacji, teorii uczenia się społecznego. Pozwala to na ocenę znaczenia TikToka jako: środowiska wychowawczego, przestrzeni nieformalnej edukacji, czynnika wpływającego na postawy, wartości i zachowania młodzieży.</w:t>
      </w:r>
    </w:p>
    <w:p w14:paraId="11F1573F" w14:textId="5797F5FD" w:rsidR="00EA7559" w:rsidRPr="000519C6" w:rsidRDefault="00EA7559" w:rsidP="00EA7559">
      <w:pPr>
        <w:spacing w:after="0" w:line="360" w:lineRule="auto"/>
        <w:jc w:val="both"/>
        <w:rPr>
          <w:rFonts w:ascii="Times" w:hAnsi="Times"/>
          <w:b/>
        </w:rPr>
      </w:pPr>
      <w:r w:rsidRPr="000519C6">
        <w:rPr>
          <w:rFonts w:ascii="Times" w:hAnsi="Times"/>
        </w:rPr>
        <w:t xml:space="preserve">Przedmiotem badań w rozumieniu metodologii nauk społecznych jest ogół obiektów, rzeczy i zjawisk oraz procesów, jakim one podlegają, wobec których formułuje się pytania badawcze (Pilch, 2001). Przyjęto w związku z tym, że przedmiotem projektowanych </w:t>
      </w:r>
      <w:r w:rsidR="00A275A2">
        <w:rPr>
          <w:rFonts w:ascii="Times" w:hAnsi="Times"/>
        </w:rPr>
        <w:t>badań jest platforma TikTok</w:t>
      </w:r>
      <w:r w:rsidRPr="000519C6">
        <w:rPr>
          <w:rFonts w:ascii="Times" w:hAnsi="Times"/>
        </w:rPr>
        <w:t xml:space="preserve"> w kontekście edukacji medialnej dzieci i młodzieży. Przedmiot badań determinuje cele badań. Intuicyjnie za cele każdego działania, w tym badawczego, uznać można to, do czego zmierza osoba, to działanie podejmująca. Na użytek niniejszego artykułu przyjmuje się za Hubertem Witczakiem, rozumienie celu badawczego, jakim jest „ustalenie (rozpoznanie naukowe), ocena, wycena (przypisanie wartości i znaczenia naukowego) oraz osiągnięcie wyznaczonego, przyszłego, przewidywanego i pożądanego stanu rzeczy (naukowe kształtowanie przedmiotu) (Witczak, 2012). W projektowanych badaniach  przyjęto listę celów odnoszących się do poszczególnych aspektów. </w:t>
      </w:r>
      <w:r w:rsidRPr="000519C6">
        <w:rPr>
          <w:rFonts w:ascii="Times" w:eastAsiaTheme="minorEastAsia" w:hAnsi="Times"/>
          <w:kern w:val="0"/>
          <w:lang w:eastAsia="pl-PL"/>
        </w:rPr>
        <w:t>Celem niniejszego opracowania jest analiza roli i potencjału platformy TikTok oraz w jaki sposób oddziałuje również negatywnie na młodych odbiorców.</w:t>
      </w:r>
    </w:p>
    <w:p w14:paraId="72ACBF36" w14:textId="77777777" w:rsidR="00EA7559" w:rsidRPr="000519C6" w:rsidRDefault="00EA7559" w:rsidP="00EA7559">
      <w:pPr>
        <w:spacing w:after="0" w:line="360" w:lineRule="auto"/>
        <w:jc w:val="both"/>
        <w:rPr>
          <w:rFonts w:ascii="Times" w:hAnsi="Times"/>
        </w:rPr>
      </w:pPr>
    </w:p>
    <w:p w14:paraId="683064B7" w14:textId="7BBEDC41" w:rsidR="00EA7559" w:rsidRPr="000519C6" w:rsidRDefault="00D625D3" w:rsidP="00EA7559">
      <w:pPr>
        <w:spacing w:after="0" w:line="360" w:lineRule="auto"/>
        <w:jc w:val="both"/>
        <w:rPr>
          <w:rFonts w:ascii="Times" w:hAnsi="Times"/>
          <w:b/>
        </w:rPr>
      </w:pPr>
      <w:r>
        <w:rPr>
          <w:rFonts w:ascii="Times" w:hAnsi="Times"/>
          <w:b/>
        </w:rPr>
        <w:t>Pytania przewodnie</w:t>
      </w:r>
      <w:r w:rsidR="00EA7559" w:rsidRPr="000519C6">
        <w:rPr>
          <w:rFonts w:ascii="Times" w:hAnsi="Times"/>
          <w:b/>
        </w:rPr>
        <w:t xml:space="preserve">: </w:t>
      </w:r>
    </w:p>
    <w:p w14:paraId="2394A21D" w14:textId="77777777" w:rsidR="00EA7559" w:rsidRPr="000519C6" w:rsidRDefault="00EA7559" w:rsidP="00EA7559">
      <w:pPr>
        <w:numPr>
          <w:ilvl w:val="0"/>
          <w:numId w:val="1"/>
        </w:numPr>
        <w:spacing w:after="0" w:line="360" w:lineRule="auto"/>
        <w:jc w:val="both"/>
        <w:rPr>
          <w:rFonts w:ascii="Times" w:hAnsi="Times"/>
        </w:rPr>
      </w:pPr>
      <w:r w:rsidRPr="000519C6">
        <w:rPr>
          <w:rFonts w:ascii="Times" w:hAnsi="Times"/>
        </w:rPr>
        <w:t>Jakie cechy TikToka decydują o jego popularności wśród młodzieży ?</w:t>
      </w:r>
    </w:p>
    <w:p w14:paraId="181C0004" w14:textId="77777777" w:rsidR="00EA7559" w:rsidRPr="000519C6" w:rsidRDefault="00EA7559" w:rsidP="00EA7559">
      <w:pPr>
        <w:numPr>
          <w:ilvl w:val="0"/>
          <w:numId w:val="1"/>
        </w:numPr>
        <w:spacing w:after="0" w:line="360" w:lineRule="auto"/>
        <w:jc w:val="both"/>
        <w:rPr>
          <w:rFonts w:ascii="Times" w:hAnsi="Times"/>
        </w:rPr>
      </w:pPr>
      <w:r w:rsidRPr="000519C6">
        <w:rPr>
          <w:rFonts w:ascii="Times" w:hAnsi="Times"/>
        </w:rPr>
        <w:t>W jaki sposób TikTok funkcjonuje jako mediator kultury młodzieżowej?</w:t>
      </w:r>
    </w:p>
    <w:p w14:paraId="053945E4" w14:textId="77777777" w:rsidR="00EA7559" w:rsidRPr="000519C6" w:rsidRDefault="00EA7559" w:rsidP="00EA7559">
      <w:pPr>
        <w:numPr>
          <w:ilvl w:val="0"/>
          <w:numId w:val="1"/>
        </w:numPr>
        <w:spacing w:after="0" w:line="360" w:lineRule="auto"/>
        <w:jc w:val="both"/>
        <w:rPr>
          <w:rFonts w:ascii="Times" w:hAnsi="Times"/>
        </w:rPr>
      </w:pPr>
      <w:r w:rsidRPr="000519C6">
        <w:rPr>
          <w:rFonts w:ascii="Times" w:hAnsi="Times"/>
        </w:rPr>
        <w:t>Jakie elementy kultury młodzieżowej są najczęściej reprodukowane i kreowane na TikToku?</w:t>
      </w:r>
    </w:p>
    <w:p w14:paraId="013AE44B" w14:textId="77777777" w:rsidR="00EA7559" w:rsidRPr="000519C6" w:rsidRDefault="00EA7559" w:rsidP="00EA7559">
      <w:pPr>
        <w:numPr>
          <w:ilvl w:val="0"/>
          <w:numId w:val="1"/>
        </w:numPr>
        <w:spacing w:after="0" w:line="360" w:lineRule="auto"/>
        <w:jc w:val="both"/>
        <w:rPr>
          <w:rFonts w:ascii="Times" w:hAnsi="Times"/>
        </w:rPr>
      </w:pPr>
      <w:r w:rsidRPr="000519C6">
        <w:rPr>
          <w:rFonts w:ascii="Times" w:hAnsi="Times"/>
        </w:rPr>
        <w:t>Jak rola TikToka różni się od wcześniejszych platform społecznościowych w kontekście kulturotwórczym?</w:t>
      </w:r>
    </w:p>
    <w:p w14:paraId="4B54C805" w14:textId="77777777" w:rsidR="00EA7559" w:rsidRPr="000519C6" w:rsidRDefault="00EA7559" w:rsidP="00EA7559">
      <w:pPr>
        <w:numPr>
          <w:ilvl w:val="0"/>
          <w:numId w:val="1"/>
        </w:numPr>
        <w:spacing w:after="0" w:line="360" w:lineRule="auto"/>
        <w:jc w:val="both"/>
        <w:rPr>
          <w:rFonts w:ascii="Times" w:hAnsi="Times"/>
        </w:rPr>
      </w:pPr>
      <w:r w:rsidRPr="000519C6">
        <w:rPr>
          <w:rFonts w:ascii="Times" w:hAnsi="Times"/>
        </w:rPr>
        <w:t>Jakie funkcje wychowawcze pełni TikTok w procesie socjalizacji młodzieży?</w:t>
      </w:r>
    </w:p>
    <w:p w14:paraId="0E8A3931" w14:textId="77777777" w:rsidR="00EA7559" w:rsidRPr="000519C6" w:rsidRDefault="00EA7559" w:rsidP="00EA7559">
      <w:pPr>
        <w:numPr>
          <w:ilvl w:val="0"/>
          <w:numId w:val="1"/>
        </w:numPr>
        <w:spacing w:after="0" w:line="360" w:lineRule="auto"/>
        <w:jc w:val="both"/>
        <w:rPr>
          <w:rFonts w:ascii="Times" w:hAnsi="Times"/>
        </w:rPr>
      </w:pPr>
      <w:r w:rsidRPr="000519C6">
        <w:rPr>
          <w:rFonts w:ascii="Times" w:hAnsi="Times"/>
        </w:rPr>
        <w:t>W jaki sposób TikTok wpływa na kształtowanie postaw, wartości i norm społecznych młodych użytkowników?</w:t>
      </w:r>
    </w:p>
    <w:p w14:paraId="67C0D5C7" w14:textId="77777777" w:rsidR="00EA7559" w:rsidRPr="000519C6" w:rsidRDefault="00EA7559" w:rsidP="00EA7559">
      <w:pPr>
        <w:numPr>
          <w:ilvl w:val="0"/>
          <w:numId w:val="1"/>
        </w:numPr>
        <w:spacing w:after="0" w:line="360" w:lineRule="auto"/>
        <w:jc w:val="both"/>
        <w:rPr>
          <w:rFonts w:ascii="Times" w:hAnsi="Times"/>
        </w:rPr>
      </w:pPr>
      <w:r w:rsidRPr="000519C6">
        <w:rPr>
          <w:rFonts w:ascii="Times" w:hAnsi="Times"/>
        </w:rPr>
        <w:t>Jak obecność TikToka oddziałuje na relacje rówieśnicze i poczucie przynależności?</w:t>
      </w:r>
    </w:p>
    <w:p w14:paraId="6BD63059" w14:textId="77777777" w:rsidR="00EA7559" w:rsidRPr="000519C6" w:rsidRDefault="00EA7559" w:rsidP="00EA7559">
      <w:pPr>
        <w:numPr>
          <w:ilvl w:val="0"/>
          <w:numId w:val="1"/>
        </w:numPr>
        <w:spacing w:after="0" w:line="360" w:lineRule="auto"/>
        <w:jc w:val="both"/>
        <w:rPr>
          <w:rFonts w:ascii="Times" w:hAnsi="Times"/>
        </w:rPr>
      </w:pPr>
      <w:r w:rsidRPr="000519C6">
        <w:rPr>
          <w:rFonts w:ascii="Times" w:hAnsi="Times"/>
        </w:rPr>
        <w:t>Jakie znaczenie ma mechanizm popularności (polubienia, zasięgi) dla samooceny młodych użytkowników?</w:t>
      </w:r>
    </w:p>
    <w:p w14:paraId="1309A63E" w14:textId="77777777" w:rsidR="00EA7559" w:rsidRPr="000519C6" w:rsidRDefault="00EA7559" w:rsidP="00EA7559">
      <w:pPr>
        <w:spacing w:after="0" w:line="360" w:lineRule="auto"/>
        <w:ind w:left="720"/>
        <w:jc w:val="both"/>
        <w:rPr>
          <w:rFonts w:ascii="Times" w:hAnsi="Times"/>
        </w:rPr>
      </w:pPr>
    </w:p>
    <w:p w14:paraId="743B5F2E" w14:textId="77777777" w:rsidR="00EA7559" w:rsidRPr="000519C6" w:rsidRDefault="00EA7559" w:rsidP="00EA7559">
      <w:pPr>
        <w:spacing w:after="0" w:line="360" w:lineRule="auto"/>
        <w:jc w:val="both"/>
        <w:rPr>
          <w:rFonts w:ascii="Times" w:hAnsi="Times"/>
        </w:rPr>
      </w:pPr>
    </w:p>
    <w:p w14:paraId="24BF4C91" w14:textId="77777777" w:rsidR="00EA7559" w:rsidRPr="000519C6" w:rsidRDefault="00EA7559" w:rsidP="00EA7559">
      <w:pPr>
        <w:spacing w:after="0" w:line="360" w:lineRule="auto"/>
        <w:jc w:val="both"/>
        <w:rPr>
          <w:rFonts w:ascii="Times" w:hAnsi="Times"/>
          <w:b/>
        </w:rPr>
      </w:pPr>
      <w:r w:rsidRPr="000519C6">
        <w:rPr>
          <w:rFonts w:ascii="Times" w:hAnsi="Times"/>
          <w:b/>
        </w:rPr>
        <w:t>3.TikTok jako mediator kultury młodzieżowej.</w:t>
      </w:r>
    </w:p>
    <w:p w14:paraId="59E91D08" w14:textId="77777777" w:rsidR="00EA7559" w:rsidRPr="000519C6" w:rsidRDefault="00EA7559" w:rsidP="00EA7559">
      <w:pPr>
        <w:pStyle w:val="Akapitzlist"/>
        <w:spacing w:after="0" w:line="360" w:lineRule="auto"/>
        <w:jc w:val="both"/>
        <w:rPr>
          <w:rFonts w:ascii="Times" w:hAnsi="Times"/>
          <w:b/>
        </w:rPr>
      </w:pPr>
    </w:p>
    <w:p w14:paraId="5F0BAB40" w14:textId="77777777" w:rsidR="00EA7559" w:rsidRPr="000519C6" w:rsidRDefault="00EA7559" w:rsidP="00EA7559">
      <w:pPr>
        <w:spacing w:after="0" w:line="360" w:lineRule="auto"/>
        <w:jc w:val="both"/>
        <w:rPr>
          <w:rFonts w:ascii="Times" w:hAnsi="Times"/>
        </w:rPr>
      </w:pPr>
      <w:r w:rsidRPr="000519C6">
        <w:rPr>
          <w:rFonts w:ascii="Times" w:hAnsi="Times"/>
        </w:rPr>
        <w:t>Media pełnią funkcję pośredników kulturowych, przekazując znaczenia, wartości i wzory zachowań charakterystyczne dla danej epoki (Silverstone, 2007). TikTok jako medium oparte na krótkich formach wideo, wpisuje się w logikę kultury natychmiastowości, fragmentaryczności i wizualności, która jest szczególnie atrakcyjna dla młodych odbiorców. Model komunikacyjny TikToka opiera się na mocno skondensowanych treściach, które konsumuje się szybko i w dużej ilości, a użytkownicy oczekują błyskawicznych bodźców i efektów. Krótka forma sprzyja kreatywności, ale jednocześnie może ograniczać zdolność do długotrwałej koncentracji pogłębiania refleksji. Platforma ta umożliwia użytkownikom nie tylko odbiór treści, lecz także ich aktywne współtworzenie, co odpowiada koncepcji kultury partycypacyjnej (Jenkins, 2009). Młodzież funkcjonująca na TikToku uczestniczy w trendach, wyzwaniach i narracjach zbiorowych, które stają się nośnikami znaczeń kulturowych oraz elementem budowania wspólnej tożsamości pokoleniowej. W tym sensie TikTok pełni rolę mediatora pomiędzy jednostką a kulturą, umożliwiając młodym ludziom negocjowanie własnego miejsca w świecie społecznym</w:t>
      </w:r>
      <w:r w:rsidRPr="000519C6">
        <w:rPr>
          <w:rFonts w:ascii="Times" w:hAnsi="Times"/>
          <w:lang w:val="en-US"/>
        </w:rPr>
        <w:t xml:space="preserve">. </w:t>
      </w:r>
      <w:r w:rsidRPr="000519C6">
        <w:rPr>
          <w:rFonts w:ascii="Times" w:eastAsia="Times New Roman" w:hAnsi="Times"/>
          <w:kern w:val="0"/>
          <w:shd w:val="clear" w:color="auto" w:fill="FFFFFF"/>
          <w:lang w:eastAsia="pl-PL"/>
        </w:rPr>
        <w:t>Völkers (2025) podkreśla, że krótkie klipy z dźwiękiem funkcjonują jako „media rites of passage”, rytualne praktyki medialne, które umożliwiają młodym uczestnictwo w globalnych obiegach kulturowych, jednocześnie osadzając znaczenia lokalne i osobiste. Ten „algorytmiczny rytuał” sprzyja tworzeniu wspólnych doświadczeń emocjaonalnych i synchronizacji kulturowej pomiędzy uczestnikami z różnych krajów.</w:t>
      </w:r>
    </w:p>
    <w:p w14:paraId="5DB58CF1" w14:textId="77777777" w:rsidR="00EA7559" w:rsidRPr="000519C6" w:rsidRDefault="00EA7559" w:rsidP="00EA7559">
      <w:pPr>
        <w:spacing w:line="360" w:lineRule="auto"/>
        <w:jc w:val="both"/>
        <w:rPr>
          <w:rFonts w:ascii="Times" w:eastAsia="Times New Roman" w:hAnsi="Times"/>
          <w:kern w:val="0"/>
          <w:shd w:val="clear" w:color="auto" w:fill="FFFFFF"/>
          <w:lang w:eastAsia="pl-PL"/>
        </w:rPr>
      </w:pPr>
      <w:r w:rsidRPr="000519C6">
        <w:rPr>
          <w:rFonts w:ascii="Times" w:eastAsia="Times New Roman" w:hAnsi="Times"/>
          <w:kern w:val="0"/>
          <w:shd w:val="clear" w:color="auto" w:fill="FFFFFF"/>
          <w:lang w:eastAsia="pl-PL"/>
        </w:rPr>
        <w:tab/>
        <w:t xml:space="preserve">Platforma saje się miejscem, w którym młodzież eksperymentuje ze stylem, językiem i symbolami, często tworząc nowe subkultury, które są odmienne od wcześniejszych form kultury młodzieżowej obecnych w mediach tradycyjnych. Badania jakościowe w kontekście uczniów wykazują, że codzienne zaangażowanie na TikToku wpływa na normy społeczne młodzieży. Sekwencje „viralowe”, status mierzony „polubieniami” i „followersami”, a dynamiczne treści wizualne stają się nowymi miernikami społecznego prestiżu i samooceny. (Muñoz-González, 2024). </w:t>
      </w:r>
    </w:p>
    <w:p w14:paraId="18ECD976" w14:textId="77777777" w:rsidR="00EA7559" w:rsidRPr="000519C6" w:rsidRDefault="00EA7559" w:rsidP="00EA7559">
      <w:pPr>
        <w:spacing w:line="360" w:lineRule="auto"/>
        <w:jc w:val="both"/>
        <w:rPr>
          <w:rFonts w:ascii="Times" w:eastAsia="Times New Roman" w:hAnsi="Times"/>
          <w:kern w:val="0"/>
          <w:shd w:val="clear" w:color="auto" w:fill="FFFFFF"/>
          <w:lang w:eastAsia="pl-PL"/>
        </w:rPr>
      </w:pPr>
      <w:r w:rsidRPr="000519C6">
        <w:rPr>
          <w:rFonts w:ascii="Times" w:eastAsia="Times New Roman" w:hAnsi="Times"/>
          <w:kern w:val="0"/>
          <w:shd w:val="clear" w:color="auto" w:fill="FFFFFF"/>
          <w:lang w:eastAsia="pl-PL"/>
        </w:rPr>
        <w:tab/>
        <w:t>TikTok redefiniuje proces tworzenia treści. Młodzi uczestniczą w kulturze remiksu: powtarzają choreografie, wykorzystują te same dźwięki, memy i filtry. Trend staje się formą uczestnictwa społecznego, a przynależność do niego sposobem budowania tożsamości. Kultura trendów sprzyja wspólnotowości, lecz niesie również ryzyko silnej konformizacji oraz presji dopasowania się do dominujących wzorców (Melosik, 2013). Na TikToku nie dominuje idealizacja znana z Instagrama; popularność zdobywają treści spontaniczne i pozornie „autentyczne”. Młodzież tworzy narracje o własnym życiu, wykorzystując krótkie formy wideo jako mikroopowieści. W ten sposób platforma staje się przestrzenią ekspresji i eksperymentowania, ale jednocześnie wzmacnia porównywanie siebie z innymi (Bauman, 2013).</w:t>
      </w:r>
    </w:p>
    <w:p w14:paraId="515F4A86" w14:textId="77777777" w:rsidR="00EA7559" w:rsidRPr="000519C6" w:rsidRDefault="00EA7559" w:rsidP="00EA7559">
      <w:pPr>
        <w:spacing w:line="360" w:lineRule="auto"/>
        <w:jc w:val="both"/>
        <w:rPr>
          <w:rFonts w:ascii="Times" w:eastAsia="Times New Roman" w:hAnsi="Times"/>
          <w:kern w:val="0"/>
          <w:shd w:val="clear" w:color="auto" w:fill="FFFFFF"/>
          <w:lang w:eastAsia="pl-PL"/>
        </w:rPr>
      </w:pPr>
      <w:r w:rsidRPr="000519C6">
        <w:rPr>
          <w:rFonts w:ascii="Times" w:eastAsia="Times New Roman" w:hAnsi="Times"/>
          <w:kern w:val="0"/>
          <w:shd w:val="clear" w:color="auto" w:fill="FFFFFF"/>
          <w:lang w:eastAsia="pl-PL"/>
        </w:rPr>
        <w:tab/>
        <w:t>Treści prezentowane użytkownikom są wynikiem zaawansowanego algorytmu rekomendacji. Młodzi nie widzą „wszystkiego”, lecz tylko to, co według algorytmu ma ich zatrzymać. Powoduje to: powstanie baniek informacyjnych, wzmacnianie wcześniejszych preferencji, mniejsze zróżnicowanie światopoglądowe, trudności w konfrontacji z treściami wymagającymi krytycznej analizy. Algorytm działa jak „ukryty nauczyciel”, który nagradza atrakcyjność, humor, kontrowersję i silne emocje. Młodzi internalizują te zasady, ucząc się, jakie zachowania przynoszą uwagę i akceptację społeczną. Może to sprzyjać: wzrostowi potrzeby autoekspozycji, uzależnieniu od reakcji publiczności, eksperymentowaniu z wizerunkiem ponad miarę (Wróblewski, 2019).</w:t>
      </w:r>
    </w:p>
    <w:p w14:paraId="4FBADB88" w14:textId="77777777" w:rsidR="00EA7559" w:rsidRPr="000519C6" w:rsidRDefault="00EA7559" w:rsidP="00EA7559">
      <w:pPr>
        <w:spacing w:line="360" w:lineRule="auto"/>
        <w:jc w:val="both"/>
        <w:rPr>
          <w:rFonts w:ascii="Times" w:eastAsia="Times New Roman" w:hAnsi="Times"/>
          <w:kern w:val="0"/>
          <w:lang w:eastAsia="pl-PL"/>
        </w:rPr>
      </w:pPr>
      <w:r w:rsidRPr="000519C6">
        <w:rPr>
          <w:rFonts w:ascii="Times" w:eastAsia="Times New Roman" w:hAnsi="Times"/>
          <w:kern w:val="0"/>
          <w:shd w:val="clear" w:color="auto" w:fill="FFFFFF"/>
          <w:lang w:eastAsia="pl-PL"/>
        </w:rPr>
        <w:tab/>
        <w:t>Na TikToku powstają subkultury i społeczności tematyczne np. BookTok, EduTok, StudyTok. Młodzież dzieli się doświadczeniami i wzajemnie inspiruje, co sprzyja budowaniu przynależności. Jednak niektóre mikrospołeczności mogą działać destrukcyjnie, np. promując niezdrowe zachowania (Gobiec, 2019).</w:t>
      </w:r>
    </w:p>
    <w:p w14:paraId="4E84DCFA" w14:textId="77777777" w:rsidR="00EA7559" w:rsidRPr="000519C6" w:rsidRDefault="00EA7559" w:rsidP="00EA7559">
      <w:pPr>
        <w:spacing w:line="360" w:lineRule="auto"/>
        <w:jc w:val="both"/>
        <w:rPr>
          <w:rFonts w:ascii="Times" w:eastAsia="Times New Roman" w:hAnsi="Times"/>
          <w:kern w:val="0"/>
          <w:lang w:eastAsia="pl-PL"/>
        </w:rPr>
      </w:pPr>
    </w:p>
    <w:p w14:paraId="5A1E443A" w14:textId="77777777" w:rsidR="00EA7559" w:rsidRPr="000519C6" w:rsidRDefault="00EA7559" w:rsidP="00EA7559">
      <w:pPr>
        <w:widowControl w:val="0"/>
        <w:autoSpaceDE w:val="0"/>
        <w:autoSpaceDN w:val="0"/>
        <w:adjustRightInd w:val="0"/>
        <w:spacing w:after="240" w:line="360" w:lineRule="auto"/>
        <w:jc w:val="both"/>
        <w:rPr>
          <w:rFonts w:ascii="Times" w:hAnsi="Times"/>
          <w:b/>
          <w:lang w:val="en-US"/>
        </w:rPr>
      </w:pPr>
      <w:r w:rsidRPr="000519C6">
        <w:rPr>
          <w:rFonts w:ascii="Times" w:hAnsi="Times"/>
          <w:b/>
          <w:lang w:val="en-US"/>
        </w:rPr>
        <w:t>4. Edukacyjne i wychowawcze implikacje TikToka.</w:t>
      </w:r>
    </w:p>
    <w:p w14:paraId="562C4401" w14:textId="77777777" w:rsidR="00EA7559" w:rsidRPr="000519C6" w:rsidRDefault="00EA7559" w:rsidP="00EA7559">
      <w:pPr>
        <w:pStyle w:val="Akapitzlist"/>
        <w:spacing w:after="0" w:line="360" w:lineRule="auto"/>
        <w:jc w:val="both"/>
        <w:rPr>
          <w:rFonts w:ascii="Times" w:hAnsi="Times"/>
          <w:b/>
          <w:bCs/>
        </w:rPr>
      </w:pPr>
    </w:p>
    <w:p w14:paraId="7B39B985"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r w:rsidRPr="000519C6">
        <w:rPr>
          <w:rFonts w:ascii="Times" w:hAnsi="Times"/>
          <w:lang w:val="en-US"/>
        </w:rPr>
        <w:t>Z pedagogicznego punktu widzenia TikTok stanowi istotną przestrzeń oddziaływań wychowawczych, choc oddziaływanie te mają często character nieintencjonalny i pozaformalny. Młodzi użytkownicy uczą się poprzez obserwację zachowań innych, naśladownictwo oraz uczestnictwo w praktykach medialnych, co wpisuje się w mechanizmy uczenia się społecznego (Bandura, 2007).</w:t>
      </w:r>
    </w:p>
    <w:p w14:paraId="708F1761"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r w:rsidRPr="000519C6">
        <w:rPr>
          <w:rFonts w:ascii="Times" w:hAnsi="Times"/>
          <w:lang w:val="en-US"/>
        </w:rPr>
        <w:t>Wychowawczy potenciał TikToka przejawia się między innymi w :</w:t>
      </w:r>
    </w:p>
    <w:p w14:paraId="3C80CC04" w14:textId="77777777" w:rsidR="00EA7559" w:rsidRPr="000519C6" w:rsidRDefault="00EA7559" w:rsidP="00EA7559">
      <w:pPr>
        <w:pStyle w:val="Akapitzlist"/>
        <w:widowControl w:val="0"/>
        <w:numPr>
          <w:ilvl w:val="0"/>
          <w:numId w:val="4"/>
        </w:numPr>
        <w:autoSpaceDE w:val="0"/>
        <w:autoSpaceDN w:val="0"/>
        <w:adjustRightInd w:val="0"/>
        <w:spacing w:after="240" w:line="360" w:lineRule="auto"/>
        <w:jc w:val="both"/>
        <w:rPr>
          <w:rFonts w:ascii="Times" w:hAnsi="Times"/>
          <w:lang w:val="en-US"/>
        </w:rPr>
      </w:pPr>
      <w:r w:rsidRPr="000519C6">
        <w:rPr>
          <w:rFonts w:ascii="Times" w:hAnsi="Times"/>
          <w:lang w:val="en-US"/>
        </w:rPr>
        <w:t>rozwijaniu kreatywności i ekspresji własnej;</w:t>
      </w:r>
    </w:p>
    <w:p w14:paraId="341F7EF5" w14:textId="77777777" w:rsidR="00EA7559" w:rsidRPr="000519C6" w:rsidRDefault="00EA7559" w:rsidP="00EA7559">
      <w:pPr>
        <w:pStyle w:val="Akapitzlist"/>
        <w:widowControl w:val="0"/>
        <w:numPr>
          <w:ilvl w:val="0"/>
          <w:numId w:val="4"/>
        </w:numPr>
        <w:autoSpaceDE w:val="0"/>
        <w:autoSpaceDN w:val="0"/>
        <w:adjustRightInd w:val="0"/>
        <w:spacing w:after="240" w:line="360" w:lineRule="auto"/>
        <w:jc w:val="both"/>
        <w:rPr>
          <w:rFonts w:ascii="Times" w:hAnsi="Times"/>
          <w:lang w:val="en-US"/>
        </w:rPr>
      </w:pPr>
      <w:r w:rsidRPr="000519C6">
        <w:rPr>
          <w:rFonts w:ascii="Times" w:hAnsi="Times"/>
          <w:lang w:val="en-US"/>
        </w:rPr>
        <w:t>kształtowaniu kompetencji cyfrowych i medialnych;</w:t>
      </w:r>
    </w:p>
    <w:p w14:paraId="37565E1D" w14:textId="77777777" w:rsidR="00EA7559" w:rsidRPr="000519C6" w:rsidRDefault="00EA7559" w:rsidP="00EA7559">
      <w:pPr>
        <w:pStyle w:val="Akapitzlist"/>
        <w:widowControl w:val="0"/>
        <w:numPr>
          <w:ilvl w:val="0"/>
          <w:numId w:val="4"/>
        </w:numPr>
        <w:autoSpaceDE w:val="0"/>
        <w:autoSpaceDN w:val="0"/>
        <w:adjustRightInd w:val="0"/>
        <w:spacing w:after="240" w:line="360" w:lineRule="auto"/>
        <w:jc w:val="both"/>
        <w:rPr>
          <w:rFonts w:ascii="Times" w:hAnsi="Times"/>
          <w:lang w:val="en-US"/>
        </w:rPr>
      </w:pPr>
      <w:r w:rsidRPr="000519C6">
        <w:rPr>
          <w:rFonts w:ascii="Times" w:hAnsi="Times"/>
          <w:lang w:val="en-US"/>
        </w:rPr>
        <w:t>budowaniu poczucia przynależności do grupy rówieśniczej;</w:t>
      </w:r>
    </w:p>
    <w:p w14:paraId="0765419A" w14:textId="77777777" w:rsidR="00EA7559" w:rsidRPr="000519C6" w:rsidRDefault="00EA7559" w:rsidP="00EA7559">
      <w:pPr>
        <w:pStyle w:val="Akapitzlist"/>
        <w:widowControl w:val="0"/>
        <w:numPr>
          <w:ilvl w:val="0"/>
          <w:numId w:val="4"/>
        </w:numPr>
        <w:autoSpaceDE w:val="0"/>
        <w:autoSpaceDN w:val="0"/>
        <w:adjustRightInd w:val="0"/>
        <w:spacing w:after="240" w:line="360" w:lineRule="auto"/>
        <w:jc w:val="both"/>
        <w:rPr>
          <w:rFonts w:ascii="Times" w:hAnsi="Times"/>
          <w:lang w:val="en-US"/>
        </w:rPr>
      </w:pPr>
      <w:r w:rsidRPr="000519C6">
        <w:rPr>
          <w:rFonts w:ascii="Times" w:hAnsi="Times"/>
          <w:lang w:val="en-US"/>
        </w:rPr>
        <w:t>uczeniu się komunikacji wizualnej i narracyjnej.</w:t>
      </w:r>
    </w:p>
    <w:p w14:paraId="529253DC"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r w:rsidRPr="000519C6">
        <w:rPr>
          <w:rFonts w:ascii="Times" w:hAnsi="Times"/>
          <w:lang w:val="en-US"/>
        </w:rPr>
        <w:t>Jednocześnie TikTok przekazuje określone wzorce kulturowe i aksjologiczne, które nie zawsze są zgodne z celami wychowania formalnego. Algorytmiczna selekcja treści sprzyja popularności określonych postaw, estetyk i zachowań, co może prowadzić do utrwalenia uproszczonych modeli sukcesu, atrakcyjności czy relacji społecznych (Krotoski, 2019).</w:t>
      </w:r>
    </w:p>
    <w:p w14:paraId="52A8117D" w14:textId="77777777" w:rsidR="00EA7559" w:rsidRPr="000519C6" w:rsidRDefault="00EA7559" w:rsidP="00EA7559">
      <w:pPr>
        <w:widowControl w:val="0"/>
        <w:autoSpaceDE w:val="0"/>
        <w:autoSpaceDN w:val="0"/>
        <w:adjustRightInd w:val="0"/>
        <w:spacing w:after="240" w:line="360" w:lineRule="auto"/>
        <w:ind w:firstLine="708"/>
        <w:jc w:val="both"/>
        <w:rPr>
          <w:rFonts w:ascii="Times" w:hAnsi="Times"/>
          <w:lang w:val="en-US"/>
        </w:rPr>
      </w:pPr>
      <w:r w:rsidRPr="000519C6">
        <w:rPr>
          <w:rFonts w:ascii="Times" w:hAnsi="Times"/>
          <w:lang w:val="en-US"/>
        </w:rPr>
        <w:t>Okres adolescencji jest kluczowym etapem w procesie kształtowania tożsamości jednostki. Media społecznościowe, w ty TikTok, stają się ważnym kontekstem tego procesu, oferując młodym ludziom narzędzia do eksperymentowania z wizerunkiem, rolami społecznymi I narracją o sobie samym (Boyd, 2014). TikTok umożliwia prezentowanie siebie w formie performatywnej, często podporządkowanej logice algorytmu i reakcji odbiorców. Liczba polubień, komentarzy i udostępnień staje się wskaźnikiem społecznej akcepatcji, co może wzmacniać potrzebę zewnętrznego uznania. Z perspektywny pedagogicznej rodzi to pytania o wpływ platform na samoocenę młodzieży, odporność psychiczną oraz zdolność do krytycznej autorefleksji.</w:t>
      </w:r>
    </w:p>
    <w:p w14:paraId="14B3B7D6"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r w:rsidRPr="000519C6">
        <w:rPr>
          <w:rFonts w:ascii="Times" w:hAnsi="Times"/>
          <w:lang w:val="en-US"/>
        </w:rPr>
        <w:tab/>
        <w:t>Analiza TikToka jako mediatora kultury młodzieżowej prowadzi do wniosku, że platforma ta powinna stać się przedmiotem systematycznej reflekcji pedagogicznej. Ignorowanie jej obecności w życiu młodych ludzi prowadzi do pogłębiania luki pomiędzy edukacją formalną a realnym doświadczeniem kulturowym uczniów (Buckingham, 2013). Do kluczowych konsekwencji pedagogicznych należą:</w:t>
      </w:r>
    </w:p>
    <w:p w14:paraId="4DA054E6" w14:textId="77777777" w:rsidR="00EA7559" w:rsidRPr="000519C6" w:rsidRDefault="00EA7559" w:rsidP="00EA7559">
      <w:pPr>
        <w:pStyle w:val="Akapitzlist"/>
        <w:widowControl w:val="0"/>
        <w:numPr>
          <w:ilvl w:val="0"/>
          <w:numId w:val="5"/>
        </w:numPr>
        <w:autoSpaceDE w:val="0"/>
        <w:autoSpaceDN w:val="0"/>
        <w:adjustRightInd w:val="0"/>
        <w:spacing w:after="240" w:line="360" w:lineRule="auto"/>
        <w:jc w:val="both"/>
        <w:rPr>
          <w:rFonts w:ascii="Times" w:hAnsi="Times"/>
          <w:lang w:val="en-US"/>
        </w:rPr>
      </w:pPr>
      <w:r w:rsidRPr="000519C6">
        <w:rPr>
          <w:rFonts w:ascii="Times" w:hAnsi="Times"/>
          <w:lang w:val="en-US"/>
        </w:rPr>
        <w:t>konieczność rozwijania edukacji medialnej i krytycznego myślenia;</w:t>
      </w:r>
    </w:p>
    <w:p w14:paraId="1AE5D253" w14:textId="77777777" w:rsidR="00EA7559" w:rsidRPr="000519C6" w:rsidRDefault="00EA7559" w:rsidP="00EA7559">
      <w:pPr>
        <w:pStyle w:val="Akapitzlist"/>
        <w:widowControl w:val="0"/>
        <w:numPr>
          <w:ilvl w:val="0"/>
          <w:numId w:val="5"/>
        </w:numPr>
        <w:autoSpaceDE w:val="0"/>
        <w:autoSpaceDN w:val="0"/>
        <w:adjustRightInd w:val="0"/>
        <w:spacing w:after="240" w:line="360" w:lineRule="auto"/>
        <w:jc w:val="both"/>
        <w:rPr>
          <w:rFonts w:ascii="Times" w:hAnsi="Times"/>
          <w:lang w:val="en-US"/>
        </w:rPr>
      </w:pPr>
      <w:r w:rsidRPr="000519C6">
        <w:rPr>
          <w:rFonts w:ascii="Times" w:hAnsi="Times"/>
          <w:lang w:val="en-US"/>
        </w:rPr>
        <w:t>potrzeba przygotowania nauczycieli i wychowawców do pracy z mediami społecznościowymi;</w:t>
      </w:r>
    </w:p>
    <w:p w14:paraId="7DC27AAA" w14:textId="77777777" w:rsidR="00EA7559" w:rsidRPr="000519C6" w:rsidRDefault="00EA7559" w:rsidP="00EA7559">
      <w:pPr>
        <w:pStyle w:val="Akapitzlist"/>
        <w:widowControl w:val="0"/>
        <w:numPr>
          <w:ilvl w:val="0"/>
          <w:numId w:val="5"/>
        </w:numPr>
        <w:autoSpaceDE w:val="0"/>
        <w:autoSpaceDN w:val="0"/>
        <w:adjustRightInd w:val="0"/>
        <w:spacing w:after="240" w:line="360" w:lineRule="auto"/>
        <w:jc w:val="both"/>
        <w:rPr>
          <w:rFonts w:ascii="Times" w:hAnsi="Times"/>
          <w:lang w:val="en-US"/>
        </w:rPr>
      </w:pPr>
      <w:r w:rsidRPr="000519C6">
        <w:rPr>
          <w:rFonts w:ascii="Times" w:hAnsi="Times"/>
          <w:lang w:val="en-US"/>
        </w:rPr>
        <w:t>włączanie doświadczeń medialnych młodzieży do procesów dydaktycznych;</w:t>
      </w:r>
    </w:p>
    <w:p w14:paraId="28E8B4A9" w14:textId="77777777" w:rsidR="00EA7559" w:rsidRPr="000519C6" w:rsidRDefault="00EA7559" w:rsidP="00EA7559">
      <w:pPr>
        <w:pStyle w:val="Akapitzlist"/>
        <w:widowControl w:val="0"/>
        <w:numPr>
          <w:ilvl w:val="0"/>
          <w:numId w:val="5"/>
        </w:numPr>
        <w:autoSpaceDE w:val="0"/>
        <w:autoSpaceDN w:val="0"/>
        <w:adjustRightInd w:val="0"/>
        <w:spacing w:after="240" w:line="360" w:lineRule="auto"/>
        <w:jc w:val="both"/>
        <w:rPr>
          <w:rFonts w:ascii="Times" w:hAnsi="Times"/>
          <w:lang w:val="en-US"/>
        </w:rPr>
      </w:pPr>
      <w:r w:rsidRPr="000519C6">
        <w:rPr>
          <w:rFonts w:ascii="Times" w:hAnsi="Times"/>
          <w:lang w:val="en-US"/>
        </w:rPr>
        <w:t>wspieranie młodych ludzi w refleksyjnym i odpowiedzialnym korzystaniu z mediów.</w:t>
      </w:r>
    </w:p>
    <w:p w14:paraId="02677643"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r w:rsidRPr="000519C6">
        <w:rPr>
          <w:rFonts w:ascii="Times" w:hAnsi="Times"/>
          <w:lang w:val="en-US"/>
        </w:rPr>
        <w:t>Mechanizm popularności obecny na platformie TikTok, wyrażający się poprzez liczbę polubień, komentarzy, udostępnień oraz zasięgów odgrywa istotną role w kształtowaniu samooceny młodych użytkowników. W okresie adolescencji, charakteryzyjącym się zwiększoną wrażliwością na ocenę społeczną, wskaźniki te stają się formą symbolicznego uznania, które może wzmacniać lub osłabiać poczucie własnej wartości (Harter, 2012). Badania wskazują, że młodzież często interpretuje popularność treści jako bezpośrednią ocenę własnej osoby, a nie jedynie publikowanego materiału, co sprzyja uzależnianiu samooceny od reakcji odbiorców (Nesi &amp; Prinstein, 2015). Algorytmiczna logika TikToka, promująca treści generujące wysokie zaangażowanie, może prowadzić do porównań społecznych oraz presji ciągłej autoprezentacji zgodnej z dominującymi trendami (Vogel i in., 2014). W konsekwencji mechanism popularności sprzyja rozwojowi tzw. Samooceny warunkowej, opartej na zewnętrznej aprobacie, co z pedagogicznego punktu widzenia stanowi wyzwanie dla kształtowania stabilnej, wewnętrznie ugruntowanej tożsamości młodego człowieka (Boyd &amp; Buckingham, 2013).</w:t>
      </w:r>
    </w:p>
    <w:p w14:paraId="5630AB06" w14:textId="5F0C0589" w:rsidR="00EA7559" w:rsidRPr="000519C6" w:rsidRDefault="001B2590" w:rsidP="00EA7559">
      <w:pPr>
        <w:widowControl w:val="0"/>
        <w:autoSpaceDE w:val="0"/>
        <w:autoSpaceDN w:val="0"/>
        <w:adjustRightInd w:val="0"/>
        <w:spacing w:after="240" w:line="360" w:lineRule="auto"/>
        <w:ind w:firstLine="708"/>
        <w:jc w:val="both"/>
        <w:rPr>
          <w:rFonts w:ascii="Times" w:hAnsi="Times"/>
          <w:lang w:val="en-US"/>
        </w:rPr>
      </w:pPr>
      <w:r>
        <w:rPr>
          <w:rFonts w:ascii="Times" w:hAnsi="Times"/>
          <w:lang w:val="en-US"/>
        </w:rPr>
        <w:t>Tik T</w:t>
      </w:r>
      <w:r w:rsidR="00EA7559" w:rsidRPr="000519C6">
        <w:rPr>
          <w:rFonts w:ascii="Times" w:hAnsi="Times"/>
          <w:lang w:val="en-US"/>
        </w:rPr>
        <w:t>ok jest również bogatym źródłem wiedzy w formie mikrotreści takich jak: porady, wyjaśnienia, ciekawostki, wskazówki. Korzystają z tego twórcy edukacyjni, którzy w atrakcyjnej formie przekazują treści z nauk ścisłych, historii, psychologii czy zdrowia psychicznego. Ten sposób uczenia się jest szybki i przystępny, dobrze odpowiada na potrzeby pokolenia, uczy selekcji informacji. Jednak brak kontekstu, powierzchowność i większa podatność na manipulację mogą prowadzić do utrwalenia uproszczonych lub błędnych przekonań (Abidin, 2020).</w:t>
      </w:r>
    </w:p>
    <w:p w14:paraId="241DF859" w14:textId="77777777" w:rsidR="00EA7559" w:rsidRPr="000519C6" w:rsidRDefault="00EA7559" w:rsidP="00EA7559">
      <w:pPr>
        <w:widowControl w:val="0"/>
        <w:autoSpaceDE w:val="0"/>
        <w:autoSpaceDN w:val="0"/>
        <w:adjustRightInd w:val="0"/>
        <w:spacing w:after="240" w:line="360" w:lineRule="auto"/>
        <w:ind w:firstLine="708"/>
        <w:jc w:val="both"/>
        <w:rPr>
          <w:rFonts w:ascii="Times" w:hAnsi="Times"/>
          <w:lang w:val="en-US"/>
        </w:rPr>
      </w:pPr>
      <w:r w:rsidRPr="000519C6">
        <w:rPr>
          <w:rFonts w:ascii="Times" w:hAnsi="Times"/>
          <w:lang w:val="en-US"/>
        </w:rPr>
        <w:t>Niekończący się strumień treści może jednak prowadzić do: problemów z koncentracją, skrócenia czasu reakcji emocjonalnych, brak umiejętności selekcji, uzależnienie behawioralne. Choć TikTok promuje autentyczność, pradoksalnie tworzy nowe standardy atrakcyjności. Użytkownicy reżyserują swoją codzienność, dopasowując się do oczekiwań i trendów. To może skutkować: obniżoną samooceną, presją ciągłej autoprezentacji, porównywaniem się z innymi. Popularność zdobywają także treści niebezpieczne, ekstremalne, impulsywne lub promujące niebezpieczne zachowania. Platforma nie zawsze skutecznie reaguje, a algorytm może wzmocnić kontrowersyjne treści (Andrzejweska, 2014).</w:t>
      </w:r>
    </w:p>
    <w:p w14:paraId="2CCD3FC8"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r w:rsidRPr="000519C6">
        <w:rPr>
          <w:rFonts w:ascii="Times" w:hAnsi="Times"/>
          <w:lang w:val="en-US"/>
        </w:rPr>
        <w:tab/>
      </w:r>
    </w:p>
    <w:p w14:paraId="5914A024" w14:textId="0581C2BF" w:rsidR="00EA7559" w:rsidRPr="000519C6" w:rsidRDefault="00D625D3" w:rsidP="00EA7559">
      <w:pPr>
        <w:widowControl w:val="0"/>
        <w:autoSpaceDE w:val="0"/>
        <w:autoSpaceDN w:val="0"/>
        <w:adjustRightInd w:val="0"/>
        <w:spacing w:after="240" w:line="360" w:lineRule="auto"/>
        <w:jc w:val="both"/>
        <w:rPr>
          <w:rFonts w:ascii="Times" w:hAnsi="Times"/>
          <w:lang w:val="en-US"/>
        </w:rPr>
      </w:pPr>
      <w:r>
        <w:rPr>
          <w:rFonts w:ascii="Times" w:hAnsi="Times"/>
          <w:b/>
          <w:bCs/>
          <w:lang w:val="en-US"/>
        </w:rPr>
        <w:t>5. Założ</w:t>
      </w:r>
      <w:r w:rsidR="00EA7559" w:rsidRPr="000519C6">
        <w:rPr>
          <w:rFonts w:ascii="Times" w:hAnsi="Times"/>
          <w:b/>
          <w:bCs/>
          <w:lang w:val="en-US"/>
        </w:rPr>
        <w:t>enia edukacji medialnej w kontekście mediów społecznościowych.</w:t>
      </w:r>
    </w:p>
    <w:p w14:paraId="07505FAC"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r w:rsidRPr="000519C6">
        <w:rPr>
          <w:rFonts w:ascii="Times" w:hAnsi="Times"/>
          <w:lang w:val="en-US"/>
        </w:rPr>
        <w:t xml:space="preserve">Edukację medialną można rozumieć jako różnorodne czynności zorganizowane przez rodziców i nauczycieli, które zmierzają do rozwijania kompetencji medialnych u dzieci i młodzieży (Łuc, 2018). Edukacja medialna z jednej strony pozwala młodzieży na rozsądne korzystanie z mediów, z drugiej natomiast uczy ich krytycznego i świadomego podejścia do oceniania przekazywanych treści. Według Anny Kaczmarek (2013) podstawowym celem edukacji medialnej jest rozwijanie kompetencji medialnych już u najmłodszych dzieci, ale także wśród młodzieży aktywnie korzystającej z nowych technologii czy mediów społecznościowych. Wychowanie medialne zarówno w środowisku szkolnym, jak i rodzinnym powinno zapewnić swobodny dostęp do technologii informacyjno-komunikacyjnych oraz uczyć analizowania komunikatów medialnych i poznawania możliwości komunikacji we współczesnych mediach. Kompetencje medialne natomiast obejmują umiejętność krytycznej oceny treści, rozpoznawania fałszywych informacji, korzystania z różnych mediów w sposób świadomy i odpowiedzialny, a także tworzenia własnych treści medialnych. W tym sensie TikTok nie powinien być postrzegany wyłącznie jako zagrożenie, lecz jako fakt kulturowy, który domaga się odpowiedzialnej interpretacji I towarzyszenia wychowawczego. Edukacja medialna nie może być jedynie kursem wyjaśniającym, w jaki sposób korzystać z technologii informacyjno-komunikacyjnych. Jej zadaniem jest rozwijanie świadomego i rozsądnego użytkownika nowych mediów (Juszczyk-Rygałło, 2015), </w:t>
      </w:r>
    </w:p>
    <w:p w14:paraId="3172EDC0" w14:textId="77777777" w:rsidR="00EA7559" w:rsidRPr="000519C6" w:rsidRDefault="00EA7559" w:rsidP="00EA7559">
      <w:pPr>
        <w:widowControl w:val="0"/>
        <w:autoSpaceDE w:val="0"/>
        <w:autoSpaceDN w:val="0"/>
        <w:adjustRightInd w:val="0"/>
        <w:spacing w:after="240" w:line="360" w:lineRule="auto"/>
        <w:ind w:firstLine="708"/>
        <w:jc w:val="both"/>
        <w:rPr>
          <w:rFonts w:ascii="Times" w:hAnsi="Times"/>
          <w:lang w:val="en-US"/>
        </w:rPr>
      </w:pPr>
      <w:r w:rsidRPr="000519C6">
        <w:rPr>
          <w:rFonts w:ascii="Times" w:hAnsi="Times"/>
          <w:lang w:val="en-US"/>
        </w:rPr>
        <w:t xml:space="preserve">Podstawowym celem edukacji medialnej jest promowanie właściwych postaw wobec mediów oraz rozwijanie umiejętności rozpoznawania technik wykorzystywanych przez nie, umożliwiających podejmowanie świadomych decyzji dotyczących korzystania z nich (Lepa, 2002). Istotne jest posługiwanie się technologią informacyjno- -komunikacyjną w taki sposób, aby była ona zarówno narzędziem rozumienia świata, jak i rozwoju intelektualnego oraz wzajemnego komunikowania się. Praktykowanie wychowania medialnego wśród dzieci i młodzieży daje podstawy do wychowania człowieka, przekazuje wiedzę i doświadczenie, ale przede wszystkim uczy funkcjonować w społeczeństwie informacyjno-komunikacyjnym (Bis, 2018). Agnieszka Ogonowska i Grzegorz Ptaszek (2016) twierdzą, że posiadanie umiejętności medialnych, które są stale doskonalone i rozwijane, pozwala na uzyskanie potrzebnego dystansu wobec mediów. Kompetencje medialne nie gwarantują pełnej wolności, świadomości i krytycznego podejścia do mediów, jednak zdecydowanie zwiększają prawdopodobieństwo ich osiągnięcia. Zadaniem A. Ogonowskiej najmłodsze dzieci wykazujące zainteresowanie nowymi mediami należy odpowiednio przygotowywać do prawidłowego ich wykorzystania w zabawie i nauce. </w:t>
      </w:r>
    </w:p>
    <w:p w14:paraId="2117B54B" w14:textId="77777777" w:rsidR="00EA7559" w:rsidRPr="000519C6" w:rsidRDefault="00EA7559" w:rsidP="00EA7559">
      <w:pPr>
        <w:widowControl w:val="0"/>
        <w:autoSpaceDE w:val="0"/>
        <w:autoSpaceDN w:val="0"/>
        <w:adjustRightInd w:val="0"/>
        <w:spacing w:after="240" w:line="360" w:lineRule="auto"/>
        <w:ind w:firstLine="708"/>
        <w:jc w:val="both"/>
        <w:rPr>
          <w:rFonts w:ascii="Times" w:hAnsi="Times"/>
          <w:lang w:val="en-US"/>
        </w:rPr>
      </w:pPr>
      <w:r w:rsidRPr="000519C6">
        <w:rPr>
          <w:rFonts w:ascii="Times" w:hAnsi="Times"/>
          <w:lang w:val="en-US"/>
        </w:rPr>
        <w:t xml:space="preserve"> W pracy współczesnego nauczyciela coraz ważniejsze stają się umiejętności medialne, obejmujące świadome i zrównoważone wykorzystanie różnorodnych mediów w procesie pedagogicznym, krytyczne i aktywne odbieranie treści oraz znajomość podstawowych teorii wpływu mediów (Siemieniecki, 2007). Umiejętności nauczyciela umożliwiają właściwą analizę mediów oraz ich ocenę pod względem przydatności w procesie kształcenia (Juszczyk, 2007). Zadaniem pedagoga w edukacji medialnej jest posiadanie wiedzy na temat mediów i multimediów, ale przede wszystkim wzorowe ich wykorzystanie w życiu codziennym (Godzic, 2005). </w:t>
      </w:r>
    </w:p>
    <w:p w14:paraId="2592D038" w14:textId="77777777" w:rsidR="00EA7559" w:rsidRPr="000519C6" w:rsidRDefault="00EA7559" w:rsidP="00EA7559">
      <w:pPr>
        <w:pStyle w:val="Akapitzlist"/>
        <w:widowControl w:val="0"/>
        <w:numPr>
          <w:ilvl w:val="0"/>
          <w:numId w:val="3"/>
        </w:numPr>
        <w:autoSpaceDE w:val="0"/>
        <w:autoSpaceDN w:val="0"/>
        <w:adjustRightInd w:val="0"/>
        <w:spacing w:after="240" w:line="360" w:lineRule="auto"/>
        <w:jc w:val="both"/>
        <w:rPr>
          <w:rFonts w:ascii="Times" w:hAnsi="Times"/>
          <w:lang w:val="en-US"/>
        </w:rPr>
      </w:pPr>
      <w:r w:rsidRPr="000519C6">
        <w:rPr>
          <w:rFonts w:ascii="Times" w:hAnsi="Times"/>
          <w:lang w:val="en-US"/>
        </w:rPr>
        <w:t xml:space="preserve">rozwijanie umiejętności uczniów do świadomego, krytycznego i poprawnego analizowania różnych rodzajów komunikatów medialnych; </w:t>
      </w:r>
    </w:p>
    <w:p w14:paraId="0C4AC33F" w14:textId="77777777" w:rsidR="00EA7559" w:rsidRPr="000519C6" w:rsidRDefault="00EA7559" w:rsidP="00EA7559">
      <w:pPr>
        <w:pStyle w:val="Akapitzlist"/>
        <w:widowControl w:val="0"/>
        <w:numPr>
          <w:ilvl w:val="0"/>
          <w:numId w:val="3"/>
        </w:numPr>
        <w:autoSpaceDE w:val="0"/>
        <w:autoSpaceDN w:val="0"/>
        <w:adjustRightInd w:val="0"/>
        <w:spacing w:after="240" w:line="360" w:lineRule="auto"/>
        <w:jc w:val="both"/>
        <w:rPr>
          <w:rFonts w:ascii="Times" w:hAnsi="Times"/>
          <w:lang w:val="en-US"/>
        </w:rPr>
      </w:pPr>
      <w:r w:rsidRPr="000519C6">
        <w:rPr>
          <w:rFonts w:ascii="Times" w:hAnsi="Times"/>
          <w:lang w:val="en-US"/>
        </w:rPr>
        <w:t xml:space="preserve">umożliwienie uczniom efektywnego wykorzystania urządzeń medialnych jako narzędzi do pracy intelektualnej oraz twórczości medialnej, w tym tworzenia komunikatów medialnych. </w:t>
      </w:r>
    </w:p>
    <w:p w14:paraId="2B3105A1"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r w:rsidRPr="000519C6">
        <w:rPr>
          <w:rFonts w:ascii="Times" w:hAnsi="Times"/>
          <w:lang w:val="en-US"/>
        </w:rPr>
        <w:t>Nauczyciele i edukatorzy mogą wykorzystywać TikTok do angażujących projektów, analizować popularne materiały w szkolnych dyskusjach, prowadzić kampanie informacyjne dla młodzieży. Platforma staje się w ten sposób środkiem do edukacji, a nie tylko biernej konsumpcji. Ważnym zadaniem pedagogów jest rozmowa o odpowiedzialności cyfrowej, wspieranie w radzeniu sobie z presją trendów, uczenie różnicy między autentycznością a performatywnością, rozwijanie higieny cyfrowej (równowaga między mediami a offline). Z perspektywy pedagogicznej kluczowe jest wspieranie młodzieży w świadomym, krytycznym i odpowiedzialnym korzystaniu z TikToka. Platforma posiada ogromny potencjał edukacyjny, pod warunkiem, że stanie się narzędziem refleksji, a nie jedynie źródłem niekontrolowanej konsumpcji treści.</w:t>
      </w:r>
    </w:p>
    <w:p w14:paraId="12B1BEBE"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p>
    <w:p w14:paraId="47EF3CEA" w14:textId="77777777" w:rsidR="00EA7559" w:rsidRPr="000519C6" w:rsidRDefault="00EA7559" w:rsidP="00EA7559">
      <w:pPr>
        <w:widowControl w:val="0"/>
        <w:autoSpaceDE w:val="0"/>
        <w:autoSpaceDN w:val="0"/>
        <w:adjustRightInd w:val="0"/>
        <w:spacing w:after="240" w:line="360" w:lineRule="auto"/>
        <w:jc w:val="both"/>
        <w:rPr>
          <w:rFonts w:ascii="Times" w:hAnsi="Times"/>
          <w:lang w:val="en-US"/>
        </w:rPr>
      </w:pPr>
      <w:r w:rsidRPr="000519C6">
        <w:rPr>
          <w:rFonts w:ascii="Times" w:hAnsi="Times"/>
          <w:b/>
          <w:bCs/>
          <w:lang w:val="en-US"/>
        </w:rPr>
        <w:t xml:space="preserve">6. Zakończenie </w:t>
      </w:r>
    </w:p>
    <w:p w14:paraId="4000B832" w14:textId="77777777" w:rsidR="00EA7559" w:rsidRPr="000519C6" w:rsidRDefault="00EA7559" w:rsidP="00EA7559">
      <w:pPr>
        <w:spacing w:after="0" w:line="360" w:lineRule="auto"/>
        <w:jc w:val="both"/>
        <w:rPr>
          <w:rFonts w:ascii="Times" w:hAnsi="Times"/>
          <w:lang w:val="en-GB" w:bidi="en-GB"/>
        </w:rPr>
      </w:pPr>
      <w:r w:rsidRPr="000519C6">
        <w:rPr>
          <w:rFonts w:ascii="Times" w:hAnsi="Times"/>
          <w:lang w:val="en-US"/>
        </w:rPr>
        <w:t>TikTok jako współczesny mediator kultury młodzieżowej odgrywa istotną role w procesach socjalizacji, kształtowania tożsamości oraz edukacji nieformalnej młodego pokolenia. Jego znaczenie wychowawcze jest ambiwalentne. Z jednej strony oferuje przestrzeń rozwoju i ekspresji, z drugiej generuje liczne wyzwania pedagogiczne (Cervi, 2021). Wobec rosnącej roli mediów społecznościowych w życiu młodzieży konieczne staje się ich systematyczne uwzględnianie w teorii i praktyce pedagogicznej, nie jako zagrożenia, lecz jako istotnego elementu współczesnego środowiska wychowawczego. Badania jakościowe w kontekście uczniów wykazują, że codzienne zaangażowanie na TikToku wpływa na normy społeczne młodzieży. Sekwencja “wiralowe”, status mierzony “polubieniami” i “followersami”, a dynamiczne treści wizualne stają się nowymi miernikami społecznego prestiżu i samooceny (Cervi, 2021).</w:t>
      </w:r>
    </w:p>
    <w:p w14:paraId="76A7322C" w14:textId="77777777" w:rsidR="00EA7559" w:rsidRPr="000519C6" w:rsidRDefault="00EA7559" w:rsidP="00EA7559">
      <w:pPr>
        <w:spacing w:after="0" w:line="360" w:lineRule="auto"/>
        <w:jc w:val="both"/>
        <w:rPr>
          <w:rFonts w:ascii="Times" w:hAnsi="Times"/>
          <w:bCs/>
        </w:rPr>
      </w:pPr>
    </w:p>
    <w:p w14:paraId="073CC44A" w14:textId="77777777" w:rsidR="00EA7559" w:rsidRPr="000519C6" w:rsidRDefault="00EA7559" w:rsidP="00EA7559">
      <w:pPr>
        <w:spacing w:after="0" w:line="360" w:lineRule="auto"/>
        <w:jc w:val="both"/>
        <w:rPr>
          <w:rFonts w:ascii="Times" w:hAnsi="Times"/>
          <w:b/>
        </w:rPr>
      </w:pPr>
      <w:r w:rsidRPr="000519C6">
        <w:rPr>
          <w:rFonts w:ascii="Times" w:hAnsi="Times"/>
          <w:b/>
        </w:rPr>
        <w:t xml:space="preserve">7. Wnioski </w:t>
      </w:r>
    </w:p>
    <w:p w14:paraId="4142F990" w14:textId="77777777" w:rsidR="00EA7559" w:rsidRPr="000519C6" w:rsidRDefault="00EA7559" w:rsidP="00EA7559">
      <w:pPr>
        <w:spacing w:after="0" w:line="360" w:lineRule="auto"/>
        <w:jc w:val="both"/>
        <w:rPr>
          <w:rFonts w:ascii="Times" w:hAnsi="Times"/>
        </w:rPr>
      </w:pPr>
      <w:r w:rsidRPr="000519C6">
        <w:rPr>
          <w:rFonts w:ascii="Times" w:hAnsi="Times"/>
        </w:rPr>
        <w:t>Analiza TikToka jako współczesnego mediatora kultury młodzieżowej prowadzi do wniosku, że platforma ta odgrywa istotną rolę w procesach socjalizacji, kształtowania tożsamości oraz nieformalnej edukacji młodego pokolenia. TikTok nie jest wyłącznie narzędziem rozrywki, lecz przestrzenią intensywnej transmisji norm, wartości i wzorców zachowań, które wpływają na sposób myślenia, komunikowania się i postrzegania siebie przez młodych użytkowników.</w:t>
      </w:r>
    </w:p>
    <w:p w14:paraId="416CE95F" w14:textId="77777777" w:rsidR="00EA7559" w:rsidRPr="000519C6" w:rsidRDefault="00EA7559" w:rsidP="00EA7559">
      <w:pPr>
        <w:spacing w:after="0" w:line="360" w:lineRule="auto"/>
        <w:jc w:val="both"/>
        <w:rPr>
          <w:rFonts w:ascii="Times" w:hAnsi="Times"/>
        </w:rPr>
      </w:pPr>
      <w:r w:rsidRPr="000519C6">
        <w:rPr>
          <w:rFonts w:ascii="Times" w:hAnsi="Times"/>
        </w:rPr>
        <w:tab/>
        <w:t>Wychowawcze oddziaływanie TikToka ma charakter ambiwalentny. Z jednej strony platforma stwarza możliwość rozwoju kreatywności, ekspresji własnej oraz kompetencji medialnych i cyfrowych. Umożliwia młodzieży uczestnictwo w kulturze partycypacyjnej i budowanie poczucia przynależności do wspólnoty rówieśniczej. Z drugiej strony mechanizmy algorytmiczne oraz kultura popularności  mogą sprzyjać powierzchowności przekazu, presji autoprezentacyjnej oraz uzależnienia samooceny od zewnętrznych wskaźników aprobaty społecznej.</w:t>
      </w:r>
    </w:p>
    <w:p w14:paraId="0A41B61C" w14:textId="77777777" w:rsidR="00EA7559" w:rsidRPr="000519C6" w:rsidRDefault="00EA7559" w:rsidP="00EA7559">
      <w:pPr>
        <w:spacing w:after="0" w:line="360" w:lineRule="auto"/>
        <w:jc w:val="both"/>
        <w:rPr>
          <w:rFonts w:ascii="Times" w:hAnsi="Times"/>
        </w:rPr>
      </w:pPr>
      <w:r w:rsidRPr="000519C6">
        <w:rPr>
          <w:rFonts w:ascii="Times" w:hAnsi="Times"/>
        </w:rPr>
        <w:tab/>
        <w:t>Z pespektywy pedagogicznej TikTok ujawnia ograniczenia tradycyjnego modelu wychowania, który często nie uwzględnia realnego środowiska medialnego funkcjonowania młodzieży. Brak systematycznej refklasji edukacyjnej nad rolą mediów społecznościowych prowadzi do rozbieżności pomiędzy doświadczeniem kulturowym młodych ludzi a praktyką wychowawczą szkoły i innych instytucji edukacyjnych. TikTok jest dziś znacznie więcej niż kolejną aplikacją społecznościową, jest akceleratorem zmian kulturowych w życiu młodzieży, który zarówno wzmacnia nowe formy ekspresji, jak i stawia poważne wyzwania wychowawcze. Jego wpływ obejmuje kształtowanie tożsamości, wartości społecznych, rytułałów kulturowych i sposobów komunikowania.</w:t>
      </w:r>
    </w:p>
    <w:p w14:paraId="15F4066C" w14:textId="77777777" w:rsidR="00EA7559" w:rsidRPr="000519C6" w:rsidRDefault="00EA7559" w:rsidP="00EA7559">
      <w:pPr>
        <w:spacing w:after="0" w:line="360" w:lineRule="auto"/>
        <w:jc w:val="both"/>
        <w:rPr>
          <w:rFonts w:ascii="Times" w:hAnsi="Times"/>
        </w:rPr>
      </w:pPr>
    </w:p>
    <w:p w14:paraId="4DA72431" w14:textId="77777777" w:rsidR="00EA7559" w:rsidRPr="000519C6" w:rsidRDefault="00EA7559" w:rsidP="00EA7559">
      <w:pPr>
        <w:spacing w:after="0" w:line="360" w:lineRule="auto"/>
        <w:jc w:val="both"/>
        <w:rPr>
          <w:rFonts w:ascii="Times" w:hAnsi="Times"/>
          <w:b/>
        </w:rPr>
      </w:pPr>
      <w:r w:rsidRPr="000519C6">
        <w:rPr>
          <w:rFonts w:ascii="Times" w:hAnsi="Times"/>
          <w:b/>
        </w:rPr>
        <w:t>8. Rekomendacje pedagogiczne:</w:t>
      </w:r>
    </w:p>
    <w:p w14:paraId="2024462B" w14:textId="77777777" w:rsidR="00EA7559" w:rsidRPr="000519C6" w:rsidRDefault="00EA7559" w:rsidP="00EA7559">
      <w:pPr>
        <w:pStyle w:val="Akapitzlist"/>
        <w:numPr>
          <w:ilvl w:val="0"/>
          <w:numId w:val="6"/>
        </w:numPr>
        <w:spacing w:after="0" w:line="360" w:lineRule="auto"/>
        <w:jc w:val="both"/>
        <w:rPr>
          <w:rFonts w:ascii="Times" w:hAnsi="Times"/>
        </w:rPr>
      </w:pPr>
      <w:r w:rsidRPr="000519C6">
        <w:rPr>
          <w:rFonts w:ascii="Times" w:hAnsi="Times"/>
        </w:rPr>
        <w:t>Integracja edukacji medialnej z procesem wychowawczym.</w:t>
      </w:r>
    </w:p>
    <w:p w14:paraId="2AA49559" w14:textId="77777777" w:rsidR="00EA7559" w:rsidRPr="000519C6" w:rsidRDefault="00EA7559" w:rsidP="00EA7559">
      <w:pPr>
        <w:pStyle w:val="Akapitzlist"/>
        <w:numPr>
          <w:ilvl w:val="0"/>
          <w:numId w:val="6"/>
        </w:numPr>
        <w:spacing w:after="0" w:line="360" w:lineRule="auto"/>
        <w:jc w:val="both"/>
        <w:rPr>
          <w:rFonts w:ascii="Times" w:hAnsi="Times"/>
        </w:rPr>
      </w:pPr>
      <w:r w:rsidRPr="000519C6">
        <w:rPr>
          <w:rFonts w:ascii="Times" w:hAnsi="Times"/>
        </w:rPr>
        <w:t>Przygotowanie nauczycieli i wychowawców do pracy z mediami społecznościowymi</w:t>
      </w:r>
    </w:p>
    <w:p w14:paraId="070233E1" w14:textId="77777777" w:rsidR="00EA7559" w:rsidRPr="000519C6" w:rsidRDefault="00EA7559" w:rsidP="00EA7559">
      <w:pPr>
        <w:pStyle w:val="Akapitzlist"/>
        <w:numPr>
          <w:ilvl w:val="0"/>
          <w:numId w:val="6"/>
        </w:numPr>
        <w:spacing w:after="0" w:line="360" w:lineRule="auto"/>
        <w:jc w:val="both"/>
        <w:rPr>
          <w:rFonts w:ascii="Times" w:hAnsi="Times"/>
        </w:rPr>
      </w:pPr>
      <w:r w:rsidRPr="000519C6">
        <w:rPr>
          <w:rFonts w:ascii="Times" w:hAnsi="Times"/>
        </w:rPr>
        <w:t>Wspieranie krytycznego myślenia i refleksyjnego korzystania z mediów</w:t>
      </w:r>
    </w:p>
    <w:p w14:paraId="7A8CE938" w14:textId="77777777" w:rsidR="00EA7559" w:rsidRPr="000519C6" w:rsidRDefault="00EA7559" w:rsidP="00EA7559">
      <w:pPr>
        <w:pStyle w:val="Akapitzlist"/>
        <w:numPr>
          <w:ilvl w:val="0"/>
          <w:numId w:val="6"/>
        </w:numPr>
        <w:spacing w:after="0" w:line="360" w:lineRule="auto"/>
        <w:jc w:val="both"/>
        <w:rPr>
          <w:rFonts w:ascii="Times" w:hAnsi="Times"/>
        </w:rPr>
      </w:pPr>
      <w:r w:rsidRPr="000519C6">
        <w:rPr>
          <w:rFonts w:ascii="Times" w:hAnsi="Times"/>
        </w:rPr>
        <w:t>Wzmacnianie wewnętrznie ugruntowanej samooceny młodzieży</w:t>
      </w:r>
    </w:p>
    <w:p w14:paraId="0ADC092D" w14:textId="77777777" w:rsidR="00EA7559" w:rsidRPr="000519C6" w:rsidRDefault="00EA7559" w:rsidP="00EA7559">
      <w:pPr>
        <w:pStyle w:val="Akapitzlist"/>
        <w:numPr>
          <w:ilvl w:val="0"/>
          <w:numId w:val="6"/>
        </w:numPr>
        <w:spacing w:after="0" w:line="360" w:lineRule="auto"/>
        <w:jc w:val="both"/>
        <w:rPr>
          <w:rFonts w:ascii="Times" w:hAnsi="Times"/>
        </w:rPr>
      </w:pPr>
      <w:r w:rsidRPr="000519C6">
        <w:rPr>
          <w:rFonts w:ascii="Times" w:hAnsi="Times"/>
        </w:rPr>
        <w:t>Wykorzystanie potencjału TikToka w edukacji</w:t>
      </w:r>
    </w:p>
    <w:p w14:paraId="3658B254" w14:textId="77777777" w:rsidR="00EA7559" w:rsidRPr="000519C6" w:rsidRDefault="00EA7559" w:rsidP="00EA7559">
      <w:pPr>
        <w:pStyle w:val="Akapitzlist"/>
        <w:numPr>
          <w:ilvl w:val="0"/>
          <w:numId w:val="6"/>
        </w:numPr>
        <w:spacing w:after="0" w:line="360" w:lineRule="auto"/>
        <w:jc w:val="both"/>
        <w:rPr>
          <w:rFonts w:ascii="Times" w:hAnsi="Times"/>
        </w:rPr>
      </w:pPr>
      <w:r w:rsidRPr="000519C6">
        <w:rPr>
          <w:rFonts w:ascii="Times" w:hAnsi="Times"/>
        </w:rPr>
        <w:t>Rozwój dalszych badań pedagogicznych</w:t>
      </w:r>
    </w:p>
    <w:p w14:paraId="03BE1616" w14:textId="77777777" w:rsidR="00EA7559" w:rsidRPr="000519C6" w:rsidRDefault="00EA7559" w:rsidP="00EA7559">
      <w:pPr>
        <w:spacing w:after="0" w:line="360" w:lineRule="auto"/>
        <w:jc w:val="both"/>
        <w:rPr>
          <w:rFonts w:ascii="Times" w:hAnsi="Times"/>
        </w:rPr>
      </w:pPr>
    </w:p>
    <w:p w14:paraId="2E7DFBD2" w14:textId="77777777" w:rsidR="00BC6825" w:rsidRDefault="00BC6825" w:rsidP="00EA7559">
      <w:pPr>
        <w:spacing w:after="0" w:line="240" w:lineRule="auto"/>
        <w:jc w:val="both"/>
        <w:rPr>
          <w:rFonts w:ascii="Times New Roman" w:eastAsia="Times New Roman" w:hAnsi="Times New Roman"/>
          <w:kern w:val="0"/>
          <w:shd w:val="clear" w:color="auto" w:fill="FFFFFF"/>
          <w:lang w:eastAsia="pl-PL"/>
        </w:rPr>
      </w:pPr>
    </w:p>
    <w:p w14:paraId="55CA6096" w14:textId="77777777" w:rsidR="00EA7559" w:rsidRPr="000519C6" w:rsidRDefault="00EA7559" w:rsidP="00EA7559">
      <w:pPr>
        <w:spacing w:after="0" w:line="360" w:lineRule="auto"/>
        <w:jc w:val="both"/>
        <w:rPr>
          <w:rFonts w:ascii="Times" w:hAnsi="Times"/>
        </w:rPr>
      </w:pPr>
    </w:p>
    <w:p w14:paraId="4FE83AA0" w14:textId="77777777" w:rsidR="00EA7559" w:rsidRPr="000519C6" w:rsidRDefault="00EA7559" w:rsidP="00EA7559">
      <w:pPr>
        <w:spacing w:line="360" w:lineRule="auto"/>
        <w:jc w:val="both"/>
        <w:rPr>
          <w:rFonts w:ascii="Times" w:hAnsi="Times"/>
          <w:b/>
        </w:rPr>
      </w:pPr>
      <w:r w:rsidRPr="000519C6">
        <w:rPr>
          <w:rFonts w:ascii="Times" w:hAnsi="Times"/>
          <w:b/>
        </w:rPr>
        <w:t>Bibliografia</w:t>
      </w:r>
    </w:p>
    <w:p w14:paraId="1B1DE7B1" w14:textId="77777777" w:rsidR="00EA7559" w:rsidRPr="00DC61D3" w:rsidRDefault="00EA7559" w:rsidP="00EA7559">
      <w:pPr>
        <w:spacing w:line="360" w:lineRule="auto"/>
        <w:ind w:left="708" w:hanging="708"/>
        <w:rPr>
          <w:rFonts w:ascii="Times New Roman" w:eastAsia="Times New Roman" w:hAnsi="Times New Roman"/>
        </w:rPr>
      </w:pPr>
      <w:bookmarkStart w:id="1" w:name="_Hlk199093096"/>
      <w:r w:rsidRPr="000519C6">
        <w:rPr>
          <w:rFonts w:ascii="Times" w:hAnsi="Times"/>
          <w:lang w:bidi="en-GB"/>
        </w:rPr>
        <w:t>Abidin, C. (2020). Mapping Internet Celebrity on TikTok: Exploring Attention Economies and Visibility Labours.</w:t>
      </w:r>
      <w:r w:rsidRPr="000519C6">
        <w:rPr>
          <w:rFonts w:ascii="Times" w:hAnsi="Times"/>
          <w:i/>
          <w:lang w:bidi="en-GB"/>
        </w:rPr>
        <w:t xml:space="preserve"> In: Z. Papacharissi (Eds.), A Networked Self and Birth of The Platform Society. </w:t>
      </w:r>
      <w:r w:rsidRPr="000519C6">
        <w:rPr>
          <w:rFonts w:ascii="Times" w:hAnsi="Times"/>
          <w:lang w:bidi="en-GB"/>
        </w:rPr>
        <w:t xml:space="preserve">Routledge. </w:t>
      </w:r>
      <w:r w:rsidRPr="000519C6">
        <w:rPr>
          <w:rFonts w:ascii="Times" w:eastAsia="Times New Roman" w:hAnsi="Times" w:cs="Arial"/>
          <w:shd w:val="clear" w:color="auto" w:fill="FFFFFF"/>
        </w:rPr>
        <w:t>DOI:</w:t>
      </w:r>
      <w:r w:rsidRPr="000519C6">
        <w:rPr>
          <w:rFonts w:ascii="Times" w:eastAsia="Times New Roman" w:hAnsi="Times"/>
        </w:rPr>
        <w:fldChar w:fldCharType="begin"/>
      </w:r>
      <w:r w:rsidRPr="000519C6">
        <w:rPr>
          <w:rFonts w:ascii="Times" w:eastAsia="Times New Roman" w:hAnsi="Times"/>
        </w:rPr>
        <w:instrText xml:space="preserve"> HYPERLINK "https://doi.org/10.5334/csci.140?urlappend=%3Futm_source%3Dresearchgate.net%26utm_medium%3Darticle" \t "_blank" </w:instrText>
      </w:r>
      <w:r w:rsidRPr="000519C6">
        <w:rPr>
          <w:rFonts w:ascii="Times" w:eastAsia="Times New Roman" w:hAnsi="Times"/>
        </w:rPr>
        <w:fldChar w:fldCharType="separate"/>
      </w:r>
      <w:r w:rsidRPr="000519C6">
        <w:rPr>
          <w:rStyle w:val="Hipercze"/>
          <w:rFonts w:ascii="Times" w:eastAsia="Times New Roman" w:hAnsi="Times" w:cs="Arial"/>
          <w:bdr w:val="none" w:sz="0" w:space="0" w:color="auto" w:frame="1"/>
          <w:shd w:val="clear" w:color="auto" w:fill="FFFFFF"/>
        </w:rPr>
        <w:t>10.5334/csci.140</w:t>
      </w:r>
      <w:r w:rsidRPr="000519C6">
        <w:rPr>
          <w:rFonts w:ascii="Times" w:eastAsia="Times New Roman" w:hAnsi="Times"/>
        </w:rPr>
        <w:fldChar w:fldCharType="end"/>
      </w:r>
    </w:p>
    <w:p w14:paraId="654E236D" w14:textId="77777777" w:rsidR="00EA7559" w:rsidRPr="00885E60" w:rsidRDefault="00EA7559" w:rsidP="00885E60">
      <w:pPr>
        <w:widowControl w:val="0"/>
        <w:autoSpaceDE w:val="0"/>
        <w:autoSpaceDN w:val="0"/>
        <w:adjustRightInd w:val="0"/>
        <w:spacing w:after="240" w:line="360" w:lineRule="auto"/>
        <w:ind w:left="708" w:hanging="708"/>
        <w:rPr>
          <w:rFonts w:ascii="Times" w:eastAsiaTheme="minorEastAsia" w:hAnsi="Times" w:cs="Times"/>
          <w:kern w:val="0"/>
          <w:lang w:val="en-US" w:eastAsia="pl-PL"/>
        </w:rPr>
      </w:pPr>
      <w:r w:rsidRPr="00885E60">
        <w:rPr>
          <w:rFonts w:ascii="Times" w:hAnsi="Times"/>
          <w:lang w:bidi="en-GB"/>
        </w:rPr>
        <w:t xml:space="preserve">Adamski, A., Gosek, M &amp; Przywara, B. (2024). Kompetencje medialne uczniów i nauczycieli kluczem do edukacji w społeczeństwie zmediatyzowanym – prezentacja rezultatów projektu. </w:t>
      </w:r>
      <w:r w:rsidRPr="00885E60">
        <w:rPr>
          <w:rFonts w:ascii="Times" w:hAnsi="Times"/>
          <w:i/>
          <w:lang w:bidi="en-GB"/>
        </w:rPr>
        <w:t>Roczniki Kulturoznawcze</w:t>
      </w:r>
      <w:r w:rsidRPr="00885E60">
        <w:rPr>
          <w:rFonts w:ascii="Times" w:hAnsi="Times"/>
          <w:lang w:bidi="en-GB"/>
        </w:rPr>
        <w:t xml:space="preserve">,  2, 12146. </w:t>
      </w:r>
      <w:r w:rsidRPr="00885E60">
        <w:rPr>
          <w:rFonts w:ascii="Times" w:eastAsiaTheme="minorEastAsia" w:hAnsi="Times"/>
          <w:kern w:val="0"/>
          <w:lang w:val="en-US" w:eastAsia="pl-PL"/>
        </w:rPr>
        <w:t xml:space="preserve">DOI: https://doi.org/10.18290/rkult24152.7 </w:t>
      </w:r>
    </w:p>
    <w:p w14:paraId="01B1FA4C" w14:textId="77777777" w:rsidR="00EA7559" w:rsidRPr="00885E60" w:rsidRDefault="00EA7559" w:rsidP="00885E60">
      <w:pPr>
        <w:spacing w:line="360" w:lineRule="auto"/>
        <w:ind w:left="708" w:hanging="708"/>
        <w:rPr>
          <w:rStyle w:val="Hipercze"/>
          <w:rFonts w:ascii="Times" w:eastAsia="Times New Roman" w:hAnsi="Times"/>
        </w:rPr>
      </w:pPr>
      <w:r w:rsidRPr="00885E60">
        <w:rPr>
          <w:rFonts w:ascii="Times" w:hAnsi="Times"/>
          <w:lang w:bidi="en-GB"/>
        </w:rPr>
        <w:t xml:space="preserve">Adamczyk, K. (2025). Media Education in the Polish System of Mainstream Education. </w:t>
      </w:r>
      <w:r w:rsidRPr="00885E60">
        <w:rPr>
          <w:rFonts w:ascii="Times" w:hAnsi="Times"/>
          <w:i/>
          <w:lang w:bidi="en-GB"/>
        </w:rPr>
        <w:t>Media-Biznes-Kultura,</w:t>
      </w:r>
      <w:r w:rsidRPr="00885E60">
        <w:rPr>
          <w:rFonts w:ascii="Times" w:hAnsi="Times"/>
          <w:lang w:bidi="en-GB"/>
        </w:rPr>
        <w:t xml:space="preserve"> 1(18) 77-93 </w:t>
      </w:r>
      <w:hyperlink r:id="rId8" w:history="1">
        <w:r w:rsidRPr="00885E60">
          <w:rPr>
            <w:rStyle w:val="Hipercze"/>
            <w:rFonts w:ascii="Times" w:eastAsia="Times New Roman" w:hAnsi="Times"/>
          </w:rPr>
          <w:t>https://doi.org/10.4467/25442554.MBK.25.006.21926</w:t>
        </w:r>
      </w:hyperlink>
    </w:p>
    <w:p w14:paraId="644C0BB0" w14:textId="521D7E3F" w:rsidR="00885E60" w:rsidRPr="00885E60" w:rsidRDefault="00885E60" w:rsidP="00885E60">
      <w:pPr>
        <w:spacing w:line="360" w:lineRule="auto"/>
        <w:ind w:left="708" w:hanging="708"/>
        <w:jc w:val="both"/>
        <w:rPr>
          <w:rFonts w:ascii="Times" w:eastAsia="Times New Roman" w:hAnsi="Times"/>
        </w:rPr>
      </w:pPr>
      <w:r w:rsidRPr="00885E60">
        <w:rPr>
          <w:rStyle w:val="Hipercze"/>
          <w:rFonts w:ascii="Times" w:eastAsia="Times New Roman" w:hAnsi="Times"/>
          <w:color w:val="auto"/>
          <w:u w:val="none"/>
        </w:rPr>
        <w:t xml:space="preserve">Adamczyk, K (2025). </w:t>
      </w:r>
      <w:r w:rsidRPr="00885E60">
        <w:rPr>
          <w:rFonts w:ascii="Times" w:eastAsia="Times New Roman" w:hAnsi="Times"/>
          <w:shd w:val="clear" w:color="auto" w:fill="FFFFFF"/>
        </w:rPr>
        <w:t>Artificial intelligence in media education: potential, challenges and prospects.</w:t>
      </w:r>
      <w:r>
        <w:rPr>
          <w:rFonts w:ascii="Times" w:eastAsia="Times New Roman" w:hAnsi="Times"/>
          <w:shd w:val="clear" w:color="auto" w:fill="FFFFFF"/>
        </w:rPr>
        <w:t xml:space="preserve"> </w:t>
      </w:r>
      <w:r w:rsidRPr="00885E60">
        <w:rPr>
          <w:rFonts w:ascii="Times" w:eastAsia="Times New Roman" w:hAnsi="Times"/>
          <w:i/>
          <w:shd w:val="clear" w:color="auto" w:fill="FFFFFF"/>
        </w:rPr>
        <w:t>Edukacyjna</w:t>
      </w:r>
      <w:r>
        <w:rPr>
          <w:rFonts w:ascii="Times New Roman" w:eastAsia="Times New Roman" w:hAnsi="Times New Roman"/>
          <w:i/>
          <w:shd w:val="clear" w:color="auto" w:fill="FFFFFF"/>
        </w:rPr>
        <w:t xml:space="preserve"> </w:t>
      </w:r>
      <w:r w:rsidRPr="00885E60">
        <w:rPr>
          <w:rFonts w:ascii="Times" w:eastAsia="Times New Roman" w:hAnsi="Times"/>
          <w:i/>
          <w:shd w:val="clear" w:color="auto" w:fill="FFFFFF"/>
        </w:rPr>
        <w:t>Analiza</w:t>
      </w:r>
      <w:r>
        <w:rPr>
          <w:rFonts w:ascii="Times New Roman" w:eastAsia="Times New Roman" w:hAnsi="Times New Roman"/>
          <w:i/>
          <w:shd w:val="clear" w:color="auto" w:fill="FFFFFF"/>
        </w:rPr>
        <w:t xml:space="preserve"> </w:t>
      </w:r>
      <w:r w:rsidRPr="00885E60">
        <w:rPr>
          <w:rFonts w:ascii="Times" w:eastAsia="Times New Roman" w:hAnsi="Times"/>
          <w:i/>
          <w:shd w:val="clear" w:color="auto" w:fill="FFFFFF"/>
        </w:rPr>
        <w:t>Transakcyjna</w:t>
      </w:r>
      <w:r w:rsidRPr="00885E60">
        <w:rPr>
          <w:rFonts w:ascii="Times" w:eastAsia="Times New Roman" w:hAnsi="Times"/>
          <w:shd w:val="clear" w:color="auto" w:fill="FFFFFF"/>
        </w:rPr>
        <w:t>, nr14.</w:t>
      </w:r>
    </w:p>
    <w:p w14:paraId="23DBE617" w14:textId="77777777" w:rsidR="00EA7559" w:rsidRPr="00885E60" w:rsidRDefault="00EA7559" w:rsidP="00885E60">
      <w:pPr>
        <w:pStyle w:val="Tekstprzypisudolnego"/>
        <w:spacing w:line="360" w:lineRule="auto"/>
        <w:ind w:left="709" w:hanging="709"/>
        <w:rPr>
          <w:rFonts w:ascii="Times" w:hAnsi="Times"/>
          <w:sz w:val="24"/>
          <w:szCs w:val="24"/>
          <w:lang w:bidi="en-GB"/>
        </w:rPr>
      </w:pPr>
      <w:r w:rsidRPr="00885E60">
        <w:rPr>
          <w:rFonts w:ascii="Times" w:hAnsi="Times"/>
          <w:sz w:val="24"/>
          <w:szCs w:val="24"/>
          <w:lang w:bidi="en-GB"/>
        </w:rPr>
        <w:t xml:space="preserve">Andrzejewska, A. (2014). </w:t>
      </w:r>
      <w:r w:rsidRPr="00885E60">
        <w:rPr>
          <w:rFonts w:ascii="Times" w:hAnsi="Times"/>
          <w:i/>
          <w:sz w:val="24"/>
          <w:szCs w:val="24"/>
          <w:lang w:bidi="en-GB"/>
        </w:rPr>
        <w:t>Dzieci i młodzież w świecie mediów cyfrowych</w:t>
      </w:r>
      <w:r w:rsidRPr="00885E60">
        <w:rPr>
          <w:rFonts w:ascii="Times" w:hAnsi="Times"/>
          <w:sz w:val="24"/>
          <w:szCs w:val="24"/>
          <w:lang w:bidi="en-GB"/>
        </w:rPr>
        <w:t>. Fundacja Dzieci Niczyje.</w:t>
      </w:r>
    </w:p>
    <w:p w14:paraId="4616C7D7" w14:textId="77777777" w:rsidR="00EA7559" w:rsidRPr="00DC61D3" w:rsidRDefault="00EA7559" w:rsidP="00885E60">
      <w:pPr>
        <w:pStyle w:val="Tekstprzypisudolnego"/>
        <w:spacing w:line="360" w:lineRule="auto"/>
        <w:ind w:left="709" w:hanging="709"/>
        <w:rPr>
          <w:rFonts w:ascii="Times New Roman" w:hAnsi="Times New Roman"/>
          <w:sz w:val="24"/>
          <w:szCs w:val="24"/>
          <w:lang w:bidi="en-GB"/>
        </w:rPr>
      </w:pPr>
      <w:r w:rsidRPr="000519C6">
        <w:rPr>
          <w:rFonts w:ascii="Times" w:hAnsi="Times"/>
          <w:sz w:val="24"/>
          <w:szCs w:val="24"/>
          <w:lang w:bidi="en-GB"/>
        </w:rPr>
        <w:t>Babbie,</w:t>
      </w:r>
      <w:r w:rsidRPr="000519C6">
        <w:rPr>
          <w:rFonts w:ascii="Times" w:hAnsi="Times"/>
          <w:b/>
          <w:sz w:val="24"/>
          <w:szCs w:val="24"/>
          <w:lang w:bidi="en-GB"/>
        </w:rPr>
        <w:t xml:space="preserve"> </w:t>
      </w:r>
      <w:r w:rsidRPr="000519C6">
        <w:rPr>
          <w:rFonts w:ascii="Times" w:hAnsi="Times"/>
          <w:sz w:val="24"/>
          <w:szCs w:val="24"/>
          <w:lang w:bidi="en-GB"/>
        </w:rPr>
        <w:t xml:space="preserve">E. (2006). </w:t>
      </w:r>
      <w:r w:rsidRPr="000519C6">
        <w:rPr>
          <w:rFonts w:ascii="Times" w:hAnsi="Times"/>
          <w:i/>
          <w:sz w:val="24"/>
          <w:szCs w:val="24"/>
          <w:lang w:bidi="en-GB"/>
        </w:rPr>
        <w:t>Badania społeczne w praktyce</w:t>
      </w:r>
      <w:r w:rsidRPr="000519C6">
        <w:rPr>
          <w:rFonts w:ascii="Times" w:hAnsi="Times"/>
          <w:sz w:val="24"/>
          <w:szCs w:val="24"/>
          <w:lang w:bidi="en-GB"/>
        </w:rPr>
        <w:t>. Wydawnictwo Naukowe PWN</w:t>
      </w:r>
      <w:r>
        <w:rPr>
          <w:rFonts w:ascii="Times" w:hAnsi="Times"/>
          <w:sz w:val="24"/>
          <w:szCs w:val="24"/>
          <w:lang w:bidi="en-GB"/>
        </w:rPr>
        <w:t>, 67.</w:t>
      </w:r>
    </w:p>
    <w:p w14:paraId="72FD5885" w14:textId="77777777" w:rsidR="00EA7559" w:rsidRPr="00DC61D3" w:rsidRDefault="00EA7559" w:rsidP="00885E60">
      <w:pPr>
        <w:pStyle w:val="Tekstprzypisudolnego"/>
        <w:spacing w:line="360" w:lineRule="auto"/>
        <w:ind w:left="709" w:hanging="709"/>
        <w:rPr>
          <w:rFonts w:ascii="Times New Roman" w:hAnsi="Times New Roman"/>
          <w:sz w:val="24"/>
          <w:szCs w:val="24"/>
          <w:lang w:bidi="en-GB"/>
        </w:rPr>
      </w:pPr>
      <w:r w:rsidRPr="000519C6">
        <w:rPr>
          <w:rFonts w:ascii="Times" w:hAnsi="Times"/>
          <w:sz w:val="24"/>
          <w:szCs w:val="24"/>
          <w:lang w:bidi="en-GB"/>
        </w:rPr>
        <w:t xml:space="preserve">Bandura, A. (2007). Teoria społecznego uczenia się. Wydawnictwo </w:t>
      </w:r>
      <w:r>
        <w:rPr>
          <w:rFonts w:ascii="Times" w:hAnsi="Times"/>
          <w:sz w:val="24"/>
          <w:szCs w:val="24"/>
          <w:lang w:bidi="en-GB"/>
        </w:rPr>
        <w:t>PWN, 22-29.</w:t>
      </w:r>
    </w:p>
    <w:p w14:paraId="7C39E936" w14:textId="77777777" w:rsidR="00EA7559" w:rsidRPr="00DC61D3" w:rsidRDefault="00EA7559" w:rsidP="00885E60">
      <w:pPr>
        <w:pStyle w:val="Tekstprzypisudolnego"/>
        <w:spacing w:line="360" w:lineRule="auto"/>
        <w:ind w:left="709" w:hanging="709"/>
        <w:rPr>
          <w:rFonts w:ascii="Times New Roman" w:hAnsi="Times New Roman"/>
          <w:sz w:val="24"/>
          <w:szCs w:val="24"/>
          <w:lang w:bidi="en-GB"/>
        </w:rPr>
      </w:pPr>
      <w:r w:rsidRPr="000519C6">
        <w:rPr>
          <w:rFonts w:ascii="Times" w:hAnsi="Times"/>
          <w:sz w:val="24"/>
          <w:szCs w:val="24"/>
          <w:lang w:bidi="en-GB"/>
        </w:rPr>
        <w:t xml:space="preserve">Bauman, Z. (2013). </w:t>
      </w:r>
      <w:r w:rsidRPr="000519C6">
        <w:rPr>
          <w:rFonts w:ascii="Times" w:hAnsi="Times"/>
          <w:i/>
          <w:sz w:val="24"/>
          <w:szCs w:val="24"/>
          <w:lang w:bidi="en-GB"/>
        </w:rPr>
        <w:t>Kultura w płynnej nowoczesności.</w:t>
      </w:r>
      <w:r>
        <w:rPr>
          <w:rFonts w:ascii="Times" w:hAnsi="Times"/>
          <w:sz w:val="24"/>
          <w:szCs w:val="24"/>
          <w:lang w:bidi="en-GB"/>
        </w:rPr>
        <w:t xml:space="preserve"> Wydawnictwo Agora, 45-56.</w:t>
      </w:r>
    </w:p>
    <w:p w14:paraId="54B4C968" w14:textId="77777777" w:rsidR="00EA7559" w:rsidRPr="000519C6" w:rsidRDefault="00EA7559" w:rsidP="00885E60">
      <w:pPr>
        <w:pStyle w:val="Tekstprzypisudolnego"/>
        <w:spacing w:line="360" w:lineRule="auto"/>
        <w:ind w:left="709" w:hanging="709"/>
        <w:jc w:val="left"/>
        <w:rPr>
          <w:rFonts w:ascii="Times" w:hAnsi="Times"/>
          <w:sz w:val="24"/>
          <w:szCs w:val="24"/>
          <w:lang w:bidi="en-GB"/>
        </w:rPr>
      </w:pPr>
      <w:r w:rsidRPr="000519C6">
        <w:rPr>
          <w:rFonts w:ascii="Times" w:hAnsi="Times"/>
          <w:sz w:val="24"/>
          <w:szCs w:val="24"/>
          <w:lang w:bidi="en-GB"/>
        </w:rPr>
        <w:t xml:space="preserve">Biedrzycki, K. (2015). Elementy edukacji medialnej w podstawie programowej kształcenia ogólnego obowiązującej w polskiej szkole od 2009 roku. Jak w świetle zapisów podstawy programowej mogą i powinny być kształtowane kompetencje medialne ucznia? [w:] M. Federowicz &amp; S. Ratajski (Eds.), </w:t>
      </w:r>
      <w:r w:rsidRPr="000519C6">
        <w:rPr>
          <w:rFonts w:ascii="Times" w:hAnsi="Times"/>
          <w:i/>
          <w:sz w:val="24"/>
          <w:szCs w:val="24"/>
          <w:lang w:bidi="en-GB"/>
        </w:rPr>
        <w:t>O potrzebie edukacji medialnej w Polsce</w:t>
      </w:r>
      <w:r w:rsidRPr="000519C6">
        <w:rPr>
          <w:rFonts w:ascii="Times" w:hAnsi="Times"/>
          <w:sz w:val="24"/>
          <w:szCs w:val="24"/>
          <w:lang w:bidi="en-GB"/>
        </w:rPr>
        <w:t xml:space="preserve"> , 1-20. KRR i T. https://www.unesco.pl/fileadmin/import24/O%2520potrzebie%2520Edukacji%2520Medialnej.pdf</w:t>
      </w:r>
    </w:p>
    <w:p w14:paraId="369F804F"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 xml:space="preserve">Bogunia-Borowska, M. (2012). </w:t>
      </w:r>
      <w:r w:rsidRPr="000519C6">
        <w:rPr>
          <w:rFonts w:ascii="Times" w:hAnsi="Times"/>
          <w:i/>
          <w:sz w:val="24"/>
          <w:szCs w:val="24"/>
          <w:lang w:bidi="en-GB"/>
        </w:rPr>
        <w:t xml:space="preserve">Fenomen Telewizji. Interpretacje socjologiczne i kulturowe. </w:t>
      </w:r>
      <w:r w:rsidRPr="000519C6">
        <w:rPr>
          <w:rFonts w:ascii="Times" w:hAnsi="Times"/>
          <w:sz w:val="24"/>
          <w:szCs w:val="24"/>
          <w:lang w:bidi="en-GB"/>
        </w:rPr>
        <w:t xml:space="preserve"> Wydawnictwo Uniwersytetu Jagiellońskiego.</w:t>
      </w:r>
    </w:p>
    <w:p w14:paraId="200A3543" w14:textId="77777777" w:rsidR="00EA7559" w:rsidRPr="002B6FBF" w:rsidRDefault="00EA7559" w:rsidP="00EA7559">
      <w:pPr>
        <w:ind w:left="708" w:hanging="708"/>
        <w:rPr>
          <w:rFonts w:ascii="Times" w:eastAsia="Times New Roman" w:hAnsi="Times"/>
        </w:rPr>
      </w:pPr>
      <w:r w:rsidRPr="000519C6">
        <w:rPr>
          <w:rFonts w:ascii="Times" w:hAnsi="Times"/>
          <w:lang w:bidi="en-GB"/>
        </w:rPr>
        <w:t xml:space="preserve">Boyd, D. (2014). </w:t>
      </w:r>
      <w:r w:rsidRPr="000519C6">
        <w:rPr>
          <w:rFonts w:ascii="Times" w:hAnsi="Times"/>
          <w:i/>
          <w:lang w:bidi="en-GB"/>
        </w:rPr>
        <w:t>It’s Complicated: The Social Lives of Networked Teens. New Haven</w:t>
      </w:r>
      <w:r w:rsidRPr="000519C6">
        <w:rPr>
          <w:rFonts w:ascii="Times" w:hAnsi="Times"/>
          <w:lang w:bidi="en-GB"/>
        </w:rPr>
        <w:t xml:space="preserve">: Yale University Press. </w:t>
      </w:r>
      <w:r w:rsidRPr="000519C6">
        <w:rPr>
          <w:rFonts w:ascii="Times" w:eastAsia="Times New Roman" w:hAnsi="Times" w:cs="Arial"/>
          <w:shd w:val="clear" w:color="auto" w:fill="FFFFFF"/>
        </w:rPr>
        <w:t>DOI:</w:t>
      </w:r>
      <w:r w:rsidRPr="000519C6">
        <w:rPr>
          <w:rFonts w:ascii="Times" w:eastAsia="Times New Roman" w:hAnsi="Times"/>
        </w:rPr>
        <w:fldChar w:fldCharType="begin"/>
      </w:r>
      <w:r w:rsidRPr="000519C6">
        <w:rPr>
          <w:rFonts w:ascii="Times" w:eastAsia="Times New Roman" w:hAnsi="Times"/>
        </w:rPr>
        <w:instrText xml:space="preserve"> HYPERLINK "https://doi.org/10.12987/9780300166439" \t "_blank" </w:instrText>
      </w:r>
      <w:r w:rsidRPr="000519C6">
        <w:rPr>
          <w:rFonts w:ascii="Times" w:eastAsia="Times New Roman" w:hAnsi="Times"/>
        </w:rPr>
        <w:fldChar w:fldCharType="separate"/>
      </w:r>
      <w:r w:rsidRPr="000519C6">
        <w:rPr>
          <w:rStyle w:val="Hipercze"/>
          <w:rFonts w:ascii="Times" w:eastAsia="Times New Roman" w:hAnsi="Times" w:cs="Arial"/>
          <w:bdr w:val="none" w:sz="0" w:space="0" w:color="auto" w:frame="1"/>
          <w:shd w:val="clear" w:color="auto" w:fill="FFFFFF"/>
        </w:rPr>
        <w:t>10.12987/9780300166439</w:t>
      </w:r>
      <w:r w:rsidRPr="000519C6">
        <w:rPr>
          <w:rFonts w:ascii="Times" w:eastAsia="Times New Roman" w:hAnsi="Times"/>
        </w:rPr>
        <w:fldChar w:fldCharType="end"/>
      </w:r>
    </w:p>
    <w:p w14:paraId="42AA07A8" w14:textId="77777777" w:rsidR="00EA7559" w:rsidRPr="00DC61D3" w:rsidRDefault="00EA7559" w:rsidP="00EA7559">
      <w:pPr>
        <w:pStyle w:val="Tekstprzypisudolnego"/>
        <w:spacing w:line="360" w:lineRule="auto"/>
        <w:ind w:left="708" w:hanging="708"/>
        <w:rPr>
          <w:rFonts w:ascii="Times New Roman" w:hAnsi="Times New Roman"/>
          <w:sz w:val="24"/>
          <w:szCs w:val="24"/>
          <w:lang w:val="en-US"/>
        </w:rPr>
      </w:pPr>
      <w:r w:rsidRPr="000519C6">
        <w:rPr>
          <w:rFonts w:ascii="Times" w:hAnsi="Times"/>
          <w:sz w:val="24"/>
          <w:szCs w:val="24"/>
          <w:lang w:val="en-GB" w:bidi="en-GB"/>
        </w:rPr>
        <w:t xml:space="preserve">Bughingham, D. (2013). </w:t>
      </w:r>
      <w:r w:rsidRPr="000519C6">
        <w:rPr>
          <w:rFonts w:ascii="Times" w:hAnsi="Times"/>
          <w:i/>
          <w:sz w:val="24"/>
          <w:szCs w:val="24"/>
          <w:lang w:val="en-US"/>
        </w:rPr>
        <w:t xml:space="preserve">Media Education: Literacy, Learning and Contemporary Culture. </w:t>
      </w:r>
      <w:r w:rsidRPr="000519C6">
        <w:rPr>
          <w:rFonts w:ascii="Times" w:hAnsi="Times"/>
          <w:sz w:val="24"/>
          <w:szCs w:val="24"/>
          <w:lang w:val="en-US"/>
        </w:rPr>
        <w:t>Cambridge:</w:t>
      </w:r>
      <w:r w:rsidRPr="000519C6">
        <w:rPr>
          <w:rFonts w:ascii="Times" w:hAnsi="Times"/>
          <w:i/>
          <w:sz w:val="24"/>
          <w:szCs w:val="24"/>
          <w:lang w:val="en-US"/>
        </w:rPr>
        <w:t xml:space="preserve"> </w:t>
      </w:r>
      <w:r w:rsidRPr="000519C6">
        <w:rPr>
          <w:rFonts w:ascii="Times" w:hAnsi="Times"/>
          <w:sz w:val="24"/>
          <w:szCs w:val="24"/>
          <w:lang w:val="en-US"/>
        </w:rPr>
        <w:t>Polity   Press</w:t>
      </w:r>
      <w:r>
        <w:rPr>
          <w:rFonts w:ascii="Times" w:hAnsi="Times"/>
          <w:sz w:val="24"/>
          <w:szCs w:val="24"/>
          <w:lang w:val="en-US"/>
        </w:rPr>
        <w:t>, 234-240.</w:t>
      </w:r>
    </w:p>
    <w:p w14:paraId="0FF49A57" w14:textId="77777777" w:rsidR="00EA7559" w:rsidRPr="00DC61D3" w:rsidRDefault="00EA7559" w:rsidP="00EA7559">
      <w:pPr>
        <w:spacing w:beforeAutospacing="1" w:after="0" w:afterAutospacing="1" w:line="360" w:lineRule="atLeast"/>
        <w:ind w:left="708" w:hanging="708"/>
        <w:rPr>
          <w:rFonts w:ascii="Times" w:eastAsia="Times New Roman" w:hAnsi="Times"/>
        </w:rPr>
      </w:pPr>
      <w:r w:rsidRPr="00DC61D3">
        <w:rPr>
          <w:rFonts w:ascii="Times" w:hAnsi="Times"/>
        </w:rPr>
        <w:t xml:space="preserve">Cervi, L. (2021). </w:t>
      </w:r>
      <w:r w:rsidRPr="00DC61D3">
        <w:rPr>
          <w:rFonts w:ascii="Times" w:hAnsi="Times"/>
          <w:i/>
        </w:rPr>
        <w:t>TikTok and generaton Z. Theatre, Dance and Performance Training</w:t>
      </w:r>
      <w:r w:rsidRPr="00DC61D3">
        <w:rPr>
          <w:rFonts w:ascii="Times" w:hAnsi="Times"/>
        </w:rPr>
        <w:t xml:space="preserve">, 12(2), 198-204. </w:t>
      </w:r>
      <w:hyperlink r:id="rId9" w:history="1">
        <w:r w:rsidRPr="00DC61D3">
          <w:rPr>
            <w:rStyle w:val="Hipercze"/>
            <w:rFonts w:ascii="Times" w:eastAsia="Times New Roman" w:hAnsi="Times"/>
          </w:rPr>
          <w:t>https://doi.org/10.1080/19443927.2021.1915617</w:t>
        </w:r>
      </w:hyperlink>
    </w:p>
    <w:p w14:paraId="35D1BB12"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 xml:space="preserve">Drzewiecki, P. (2011). Edukacja medialna w Polsce w latach 2008–2011. </w:t>
      </w:r>
      <w:r w:rsidRPr="000519C6">
        <w:rPr>
          <w:rFonts w:ascii="Times" w:hAnsi="Times"/>
          <w:i/>
          <w:sz w:val="24"/>
          <w:szCs w:val="24"/>
          <w:lang w:bidi="en-GB"/>
        </w:rPr>
        <w:t>Biuletyn Edukacji Medialnej</w:t>
      </w:r>
      <w:r w:rsidRPr="000519C6">
        <w:rPr>
          <w:rFonts w:ascii="Times" w:hAnsi="Times"/>
          <w:sz w:val="24"/>
          <w:szCs w:val="24"/>
          <w:lang w:bidi="en-GB"/>
        </w:rPr>
        <w:t>,1, 64-75.</w:t>
      </w:r>
    </w:p>
    <w:p w14:paraId="4A02759C" w14:textId="77777777" w:rsidR="00EA7559" w:rsidRPr="00DC61D3" w:rsidRDefault="00EA7559" w:rsidP="00EA7559">
      <w:pPr>
        <w:pStyle w:val="Tekstprzypisudolnego"/>
        <w:spacing w:line="360" w:lineRule="auto"/>
        <w:ind w:left="709" w:hanging="709"/>
        <w:rPr>
          <w:rFonts w:ascii="Times New Roman" w:hAnsi="Times New Roman"/>
          <w:sz w:val="24"/>
          <w:szCs w:val="24"/>
          <w:lang w:bidi="en-GB"/>
        </w:rPr>
      </w:pPr>
      <w:r w:rsidRPr="000519C6">
        <w:rPr>
          <w:rFonts w:ascii="Times" w:hAnsi="Times"/>
          <w:sz w:val="24"/>
          <w:szCs w:val="24"/>
          <w:lang w:bidi="en-GB"/>
        </w:rPr>
        <w:t xml:space="preserve">Drzewiecki, P. (2010). </w:t>
      </w:r>
      <w:r w:rsidRPr="000519C6">
        <w:rPr>
          <w:rFonts w:ascii="Times" w:hAnsi="Times"/>
          <w:i/>
          <w:sz w:val="24"/>
          <w:szCs w:val="24"/>
          <w:lang w:bidi="en-GB"/>
        </w:rPr>
        <w:t>Media Aktywni. Dlaczego i jak uczyć edukacji medialnej</w:t>
      </w:r>
      <w:r>
        <w:rPr>
          <w:rFonts w:ascii="Times" w:hAnsi="Times"/>
          <w:sz w:val="24"/>
          <w:szCs w:val="24"/>
          <w:lang w:bidi="en-GB"/>
        </w:rPr>
        <w:t>? Wydawnictwo UKSW, 18-22.</w:t>
      </w:r>
    </w:p>
    <w:p w14:paraId="5B66B3DE"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 xml:space="preserve">Dyczewski, L. (2005). Konieczność kompetencji medialnej w rodzinie w: L. Dyczewski (ed.), </w:t>
      </w:r>
      <w:r w:rsidRPr="000519C6">
        <w:rPr>
          <w:rFonts w:ascii="Times" w:hAnsi="Times"/>
          <w:i/>
          <w:sz w:val="24"/>
          <w:szCs w:val="24"/>
          <w:lang w:bidi="en-GB"/>
        </w:rPr>
        <w:t>Rodzina, dziecko, media</w:t>
      </w:r>
      <w:r w:rsidRPr="000519C6">
        <w:rPr>
          <w:rFonts w:ascii="Times" w:hAnsi="Times"/>
          <w:sz w:val="24"/>
          <w:szCs w:val="24"/>
          <w:lang w:bidi="en-GB"/>
        </w:rPr>
        <w:t>, Wydawnictwo KUL.</w:t>
      </w:r>
    </w:p>
    <w:p w14:paraId="0E0F2F75"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rPr>
        <w:t xml:space="preserve">Fatyga, B. (2005). </w:t>
      </w:r>
      <w:r w:rsidRPr="000519C6">
        <w:rPr>
          <w:rFonts w:ascii="Times" w:hAnsi="Times"/>
          <w:i/>
          <w:sz w:val="24"/>
          <w:szCs w:val="24"/>
        </w:rPr>
        <w:t>Kultura młodzieżowa.</w:t>
      </w:r>
      <w:r w:rsidRPr="000519C6">
        <w:rPr>
          <w:rFonts w:ascii="Times" w:hAnsi="Times"/>
          <w:sz w:val="24"/>
          <w:szCs w:val="24"/>
        </w:rPr>
        <w:t xml:space="preserve"> Wydawnictwo Naukowe PWN.</w:t>
      </w:r>
    </w:p>
    <w:p w14:paraId="779C4CE1"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Filiciak, M. (2013).</w:t>
      </w:r>
      <w:r w:rsidRPr="000519C6">
        <w:rPr>
          <w:rFonts w:ascii="Times" w:hAnsi="Times"/>
          <w:i/>
          <w:sz w:val="24"/>
          <w:szCs w:val="24"/>
          <w:lang w:bidi="en-GB"/>
        </w:rPr>
        <w:t xml:space="preserve"> Media, wersja beta. Film i telewizja w czasach gier komputerowych i Internetu</w:t>
      </w:r>
      <w:r w:rsidRPr="000519C6">
        <w:rPr>
          <w:rFonts w:ascii="Times" w:hAnsi="Times"/>
          <w:sz w:val="24"/>
          <w:szCs w:val="24"/>
          <w:lang w:bidi="en-GB"/>
        </w:rPr>
        <w:t>, Wydawnictwo Naukowe Katedra.</w:t>
      </w:r>
    </w:p>
    <w:p w14:paraId="423E487A" w14:textId="77777777" w:rsidR="00EA7559" w:rsidRPr="00DC61D3" w:rsidRDefault="00EA7559" w:rsidP="00EA7559">
      <w:pPr>
        <w:pStyle w:val="Tekstprzypisudolnego"/>
        <w:spacing w:line="360" w:lineRule="auto"/>
        <w:ind w:left="709" w:hanging="709"/>
        <w:rPr>
          <w:rFonts w:ascii="Times New Roman" w:hAnsi="Times New Roman"/>
          <w:sz w:val="24"/>
          <w:szCs w:val="24"/>
          <w:lang w:bidi="en-GB"/>
        </w:rPr>
      </w:pPr>
      <w:r w:rsidRPr="000519C6">
        <w:rPr>
          <w:rFonts w:ascii="Times" w:hAnsi="Times"/>
          <w:sz w:val="24"/>
          <w:szCs w:val="24"/>
          <w:lang w:bidi="en-GB"/>
        </w:rPr>
        <w:t>Gajda, J., Juszczyk S., Siemieniecki B. &amp; Wenta K. (2000).</w:t>
      </w:r>
      <w:r w:rsidRPr="000519C6">
        <w:rPr>
          <w:rFonts w:ascii="Times" w:hAnsi="Times"/>
          <w:i/>
          <w:sz w:val="24"/>
          <w:szCs w:val="24"/>
          <w:lang w:bidi="en-GB"/>
        </w:rPr>
        <w:t xml:space="preserve"> Edukacja medialna</w:t>
      </w:r>
      <w:r w:rsidRPr="000519C6">
        <w:rPr>
          <w:rFonts w:ascii="Times" w:hAnsi="Times"/>
          <w:sz w:val="24"/>
          <w:szCs w:val="24"/>
          <w:lang w:bidi="en-GB"/>
        </w:rPr>
        <w:t>, Wydawnictwo Adam Marszałek</w:t>
      </w:r>
      <w:r>
        <w:rPr>
          <w:rFonts w:ascii="Times" w:hAnsi="Times"/>
          <w:sz w:val="24"/>
          <w:szCs w:val="24"/>
          <w:lang w:bidi="en-GB"/>
        </w:rPr>
        <w:t>, 44-53.</w:t>
      </w:r>
    </w:p>
    <w:p w14:paraId="6A6F4A28" w14:textId="77777777" w:rsidR="00EA7559" w:rsidRPr="000519C6" w:rsidRDefault="00EA7559" w:rsidP="00EA7559">
      <w:pPr>
        <w:pStyle w:val="Tekstprzypisudolnego"/>
        <w:spacing w:line="360" w:lineRule="auto"/>
        <w:ind w:left="709" w:hanging="709"/>
        <w:rPr>
          <w:rFonts w:ascii="Times" w:hAnsi="Times"/>
          <w:i/>
          <w:sz w:val="24"/>
          <w:szCs w:val="24"/>
          <w:lang w:bidi="en-GB"/>
        </w:rPr>
      </w:pPr>
      <w:r w:rsidRPr="000519C6">
        <w:rPr>
          <w:rFonts w:ascii="Times" w:hAnsi="Times"/>
          <w:sz w:val="24"/>
          <w:szCs w:val="24"/>
          <w:lang w:bidi="en-GB"/>
        </w:rPr>
        <w:t>Gobiec, M. (2019). Media społecznościowe jako przestrzeń socjalizacji młodzieży</w:t>
      </w:r>
      <w:r w:rsidRPr="000519C6">
        <w:rPr>
          <w:rFonts w:ascii="Times" w:hAnsi="Times"/>
          <w:i/>
          <w:sz w:val="24"/>
          <w:szCs w:val="24"/>
          <w:lang w:bidi="en-GB"/>
        </w:rPr>
        <w:t>. Pedagogika Społeczna, 2(72), 89-104.</w:t>
      </w:r>
    </w:p>
    <w:p w14:paraId="4A7CD891" w14:textId="77777777" w:rsidR="00EA7559" w:rsidRPr="000519C6" w:rsidRDefault="00EA7559" w:rsidP="00EA7559">
      <w:pPr>
        <w:pStyle w:val="Tekstprzypisudolnego"/>
        <w:spacing w:line="360" w:lineRule="auto"/>
        <w:ind w:left="708" w:hanging="708"/>
        <w:rPr>
          <w:rFonts w:ascii="Times" w:hAnsi="Times"/>
          <w:sz w:val="24"/>
          <w:szCs w:val="24"/>
        </w:rPr>
      </w:pPr>
      <w:r w:rsidRPr="000519C6">
        <w:rPr>
          <w:rFonts w:ascii="Times" w:hAnsi="Times"/>
          <w:sz w:val="24"/>
          <w:szCs w:val="24"/>
        </w:rPr>
        <w:t>Gorzeńska, O, Ratanowicz E. (2019). Zmiany, innowacje, eksperymenty. W poszukiwaniu inspiracji</w:t>
      </w:r>
      <w:r w:rsidRPr="000519C6">
        <w:rPr>
          <w:rFonts w:ascii="Times" w:hAnsi="Times"/>
          <w:i/>
          <w:sz w:val="24"/>
          <w:szCs w:val="24"/>
        </w:rPr>
        <w:t xml:space="preserve">. Poradnik dla dyrektorów szkół i nauczycieli. </w:t>
      </w:r>
      <w:r w:rsidRPr="000519C6">
        <w:rPr>
          <w:rFonts w:ascii="Times" w:hAnsi="Times"/>
          <w:sz w:val="24"/>
          <w:szCs w:val="24"/>
        </w:rPr>
        <w:t>Ośrodek Rozwoju Edukacji.</w:t>
      </w:r>
    </w:p>
    <w:p w14:paraId="328D0C11" w14:textId="77777777" w:rsidR="00EA7559" w:rsidRPr="000519C6" w:rsidRDefault="00EA7559" w:rsidP="00EA7559">
      <w:pPr>
        <w:pStyle w:val="Tekstprzypisudolnego"/>
        <w:spacing w:line="360" w:lineRule="auto"/>
        <w:ind w:left="708" w:hanging="708"/>
        <w:rPr>
          <w:rFonts w:ascii="Times" w:hAnsi="Times"/>
          <w:sz w:val="24"/>
          <w:szCs w:val="24"/>
        </w:rPr>
      </w:pPr>
      <w:r w:rsidRPr="000519C6">
        <w:rPr>
          <w:rFonts w:ascii="Times" w:hAnsi="Times"/>
          <w:sz w:val="24"/>
          <w:szCs w:val="24"/>
        </w:rPr>
        <w:t xml:space="preserve">Harter, S. (2012). </w:t>
      </w:r>
      <w:r w:rsidRPr="000519C6">
        <w:rPr>
          <w:rFonts w:ascii="Times" w:hAnsi="Times"/>
          <w:i/>
          <w:sz w:val="24"/>
          <w:szCs w:val="24"/>
        </w:rPr>
        <w:t xml:space="preserve">The Construction of the Self: Development and Sociocultural Foundations. </w:t>
      </w:r>
      <w:r w:rsidRPr="000519C6">
        <w:rPr>
          <w:rFonts w:ascii="Times" w:hAnsi="Times"/>
          <w:sz w:val="24"/>
          <w:szCs w:val="24"/>
        </w:rPr>
        <w:t>New York: Guilford Press. https://www.guilford.com/excerpts/harter.pdf?t=1</w:t>
      </w:r>
    </w:p>
    <w:p w14:paraId="6814B666" w14:textId="77777777" w:rsidR="00EA7559" w:rsidRPr="000519C6" w:rsidRDefault="00EA7559" w:rsidP="00EA7559">
      <w:pPr>
        <w:ind w:left="708" w:hanging="708"/>
        <w:rPr>
          <w:rFonts w:ascii="Times" w:eastAsia="Times New Roman" w:hAnsi="Times"/>
        </w:rPr>
      </w:pPr>
      <w:r w:rsidRPr="000519C6">
        <w:rPr>
          <w:rFonts w:ascii="Times" w:eastAsia="Times New Roman" w:hAnsi="Times"/>
          <w:shd w:val="clear" w:color="auto" w:fill="FFFFFF"/>
        </w:rPr>
        <w:t>Herrman, J. (2019). How TikTok is rewriting the world. </w:t>
      </w:r>
      <w:r w:rsidRPr="000519C6">
        <w:rPr>
          <w:rStyle w:val="Wyrnienie"/>
          <w:rFonts w:ascii="Times" w:eastAsia="Times New Roman" w:hAnsi="Times"/>
          <w:shd w:val="clear" w:color="auto" w:fill="FFFFFF"/>
        </w:rPr>
        <w:t>New York Times</w:t>
      </w:r>
      <w:r w:rsidRPr="000519C6">
        <w:rPr>
          <w:rFonts w:ascii="Times" w:eastAsia="Times New Roman" w:hAnsi="Times"/>
          <w:shd w:val="clear" w:color="auto" w:fill="FFFFFF"/>
        </w:rPr>
        <w:t>. </w:t>
      </w:r>
      <w:hyperlink r:id="rId10" w:history="1">
        <w:r w:rsidRPr="000519C6">
          <w:rPr>
            <w:rStyle w:val="Hipercze"/>
            <w:rFonts w:ascii="Times" w:hAnsi="Times"/>
            <w:shd w:val="clear" w:color="auto" w:fill="FFFFFF"/>
          </w:rPr>
          <w:t>https://www.nytimes.com/2019/03/10/style/what-is-tik-tok.html</w:t>
        </w:r>
      </w:hyperlink>
    </w:p>
    <w:p w14:paraId="7DA6592B" w14:textId="77777777" w:rsidR="00EA7559" w:rsidRPr="000519C6" w:rsidRDefault="00EA7559" w:rsidP="00EA7559">
      <w:pPr>
        <w:pStyle w:val="Tekstprzypisudolnego"/>
        <w:spacing w:line="360" w:lineRule="auto"/>
        <w:ind w:left="708" w:hanging="708"/>
        <w:rPr>
          <w:rFonts w:ascii="Times" w:hAnsi="Times"/>
          <w:sz w:val="24"/>
          <w:szCs w:val="24"/>
          <w:lang w:val="en-US" w:eastAsia="pl-PL"/>
        </w:rPr>
      </w:pPr>
      <w:r w:rsidRPr="000519C6">
        <w:rPr>
          <w:rFonts w:ascii="Times" w:hAnsi="Times"/>
          <w:sz w:val="24"/>
          <w:szCs w:val="24"/>
        </w:rPr>
        <w:t xml:space="preserve">Janta, M. (2020). Nauczyciel Medialny ?Kompetencje medialne nauczycieli </w:t>
      </w:r>
      <w:r w:rsidRPr="000519C6">
        <w:rPr>
          <w:rFonts w:ascii="Times" w:hAnsi="Times"/>
          <w:sz w:val="24"/>
          <w:szCs w:val="24"/>
          <w:shd w:val="clear" w:color="auto" w:fill="FFFFFF"/>
          <w:lang w:eastAsia="pl-PL"/>
        </w:rPr>
        <w:t xml:space="preserve"> i ich wykorzystanie w nauczaniu zdalnym. </w:t>
      </w:r>
      <w:r w:rsidRPr="000519C6">
        <w:rPr>
          <w:rFonts w:ascii="Times" w:hAnsi="Times"/>
          <w:i/>
          <w:iCs/>
          <w:sz w:val="24"/>
          <w:szCs w:val="24"/>
          <w:shd w:val="clear" w:color="auto" w:fill="FFFFFF"/>
          <w:lang w:eastAsia="pl-PL"/>
        </w:rPr>
        <w:t>Studia Paedagogica Ignatiana</w:t>
      </w:r>
      <w:r w:rsidRPr="000519C6">
        <w:rPr>
          <w:rFonts w:ascii="Times" w:hAnsi="Times"/>
          <w:sz w:val="24"/>
          <w:szCs w:val="24"/>
          <w:shd w:val="clear" w:color="auto" w:fill="FFFFFF"/>
          <w:lang w:eastAsia="pl-PL"/>
        </w:rPr>
        <w:t>, 23(4)</w:t>
      </w:r>
      <w:r>
        <w:rPr>
          <w:rFonts w:ascii="Times" w:hAnsi="Times"/>
          <w:sz w:val="24"/>
          <w:szCs w:val="24"/>
          <w:shd w:val="clear" w:color="auto" w:fill="FFFFFF"/>
          <w:lang w:eastAsia="pl-PL"/>
        </w:rPr>
        <w:t xml:space="preserve">, </w:t>
      </w:r>
      <w:r w:rsidRPr="000519C6">
        <w:rPr>
          <w:rFonts w:ascii="Times" w:hAnsi="Times"/>
          <w:sz w:val="24"/>
          <w:szCs w:val="24"/>
          <w:shd w:val="clear" w:color="auto" w:fill="FFFFFF"/>
          <w:lang w:eastAsia="pl-PL"/>
        </w:rPr>
        <w:t xml:space="preserve">87–108.  </w:t>
      </w:r>
      <w:r w:rsidRPr="000519C6">
        <w:rPr>
          <w:rFonts w:ascii="Times" w:hAnsi="Times"/>
          <w:sz w:val="24"/>
          <w:szCs w:val="24"/>
          <w:shd w:val="clear" w:color="auto" w:fill="FFFFFF"/>
          <w:lang w:val="en-US" w:eastAsia="pl-PL"/>
        </w:rPr>
        <w:t xml:space="preserve"> https://apcz.umk.pl/SPI/article/view/SPI.2020.4.004</w:t>
      </w:r>
    </w:p>
    <w:p w14:paraId="71B7B8F5" w14:textId="77777777" w:rsidR="00EA7559" w:rsidRPr="000519C6" w:rsidRDefault="00EA7559" w:rsidP="00EA7559">
      <w:pPr>
        <w:ind w:left="708" w:hanging="708"/>
        <w:rPr>
          <w:rFonts w:ascii="Times" w:eastAsia="Times New Roman" w:hAnsi="Times"/>
        </w:rPr>
      </w:pPr>
      <w:r w:rsidRPr="000519C6">
        <w:rPr>
          <w:rFonts w:ascii="Times" w:hAnsi="Times"/>
          <w:lang w:val="en-GB" w:bidi="en-GB"/>
        </w:rPr>
        <w:t xml:space="preserve">Jaakkola, M. (2020). Media re-education and the need to be constantly updated: Interview. </w:t>
      </w:r>
      <w:r w:rsidRPr="000519C6">
        <w:rPr>
          <w:rFonts w:ascii="Times" w:hAnsi="Times"/>
          <w:i/>
          <w:lang w:val="en-GB" w:bidi="en-GB"/>
        </w:rPr>
        <w:t>Central European Journal of Communication</w:t>
      </w:r>
      <w:r w:rsidRPr="000519C6">
        <w:rPr>
          <w:rFonts w:ascii="Times" w:hAnsi="Times"/>
          <w:lang w:val="en-GB" w:bidi="en-GB"/>
        </w:rPr>
        <w:t>, 2,  285-291 https://doi.org/10.19195/1899-5101.13.2(26).8</w:t>
      </w:r>
    </w:p>
    <w:p w14:paraId="303F9667" w14:textId="77777777" w:rsidR="00EA7559" w:rsidRPr="000519C6" w:rsidRDefault="00EA7559" w:rsidP="00EA7559">
      <w:pPr>
        <w:pStyle w:val="Tekstprzypisudolnego"/>
        <w:spacing w:line="360" w:lineRule="auto"/>
        <w:ind w:left="709" w:hanging="709"/>
        <w:rPr>
          <w:rFonts w:ascii="Times" w:hAnsi="Times"/>
          <w:sz w:val="24"/>
          <w:szCs w:val="24"/>
          <w:lang w:val="en-GB" w:bidi="en-GB"/>
        </w:rPr>
      </w:pPr>
      <w:r w:rsidRPr="000519C6">
        <w:rPr>
          <w:rFonts w:ascii="Times" w:hAnsi="Times"/>
          <w:sz w:val="24"/>
          <w:szCs w:val="24"/>
          <w:lang w:val="en-GB" w:bidi="en-GB"/>
        </w:rPr>
        <w:t xml:space="preserve">Jenkins, H. (2016). </w:t>
      </w:r>
      <w:r w:rsidRPr="000519C6">
        <w:rPr>
          <w:rFonts w:ascii="Times" w:hAnsi="Times"/>
          <w:i/>
          <w:sz w:val="24"/>
          <w:szCs w:val="24"/>
          <w:lang w:val="en-GB" w:bidi="en-GB"/>
        </w:rPr>
        <w:t>Kultura konwergencji.</w:t>
      </w:r>
      <w:r w:rsidRPr="000519C6">
        <w:rPr>
          <w:rFonts w:ascii="Times" w:hAnsi="Times"/>
          <w:sz w:val="24"/>
          <w:szCs w:val="24"/>
          <w:lang w:val="en-GB" w:bidi="en-GB"/>
        </w:rPr>
        <w:t xml:space="preserve"> Wydawnictwo Akademickie i Profesjonalne.</w:t>
      </w:r>
    </w:p>
    <w:p w14:paraId="1279A997" w14:textId="77777777" w:rsidR="00EA7559" w:rsidRPr="000519C6" w:rsidRDefault="00EA7559" w:rsidP="00EA7559">
      <w:pPr>
        <w:pStyle w:val="Tekstprzypisudolnego"/>
        <w:spacing w:line="360" w:lineRule="auto"/>
        <w:ind w:left="709" w:hanging="709"/>
        <w:rPr>
          <w:rFonts w:ascii="Times" w:hAnsi="Times"/>
          <w:sz w:val="24"/>
          <w:szCs w:val="24"/>
          <w:lang w:val="en-GB" w:bidi="en-GB"/>
        </w:rPr>
      </w:pPr>
      <w:r w:rsidRPr="000519C6">
        <w:rPr>
          <w:rFonts w:ascii="Times" w:hAnsi="Times"/>
          <w:sz w:val="24"/>
          <w:szCs w:val="24"/>
          <w:lang w:bidi="en-GB"/>
        </w:rPr>
        <w:t xml:space="preserve">Juszczyk-Rygałło, J. (2016). O potrzebie rewitalizacji edukacji medialnej. </w:t>
      </w:r>
      <w:r w:rsidRPr="000519C6">
        <w:rPr>
          <w:rFonts w:ascii="Times" w:hAnsi="Times"/>
          <w:i/>
          <w:sz w:val="24"/>
          <w:szCs w:val="24"/>
          <w:lang w:bidi="en-GB"/>
        </w:rPr>
        <w:t xml:space="preserve">Prace Naukowe Akademii i im. </w:t>
      </w:r>
      <w:r w:rsidRPr="000519C6">
        <w:rPr>
          <w:rFonts w:ascii="Times" w:hAnsi="Times"/>
          <w:i/>
          <w:sz w:val="24"/>
          <w:szCs w:val="24"/>
          <w:lang w:val="en-GB" w:bidi="en-GB"/>
        </w:rPr>
        <w:t>Jana Długosza w Częstochowie</w:t>
      </w:r>
      <w:r w:rsidRPr="000519C6">
        <w:rPr>
          <w:rFonts w:ascii="Times" w:hAnsi="Times"/>
          <w:sz w:val="24"/>
          <w:szCs w:val="24"/>
          <w:lang w:val="en-GB" w:bidi="en-GB"/>
        </w:rPr>
        <w:t>.  2(25), 135.</w:t>
      </w:r>
    </w:p>
    <w:p w14:paraId="606BB3DC" w14:textId="77777777" w:rsidR="00EA7559" w:rsidRPr="000519C6" w:rsidRDefault="00EA7559" w:rsidP="00EA7559">
      <w:pPr>
        <w:widowControl w:val="0"/>
        <w:autoSpaceDE w:val="0"/>
        <w:autoSpaceDN w:val="0"/>
        <w:adjustRightInd w:val="0"/>
        <w:spacing w:after="240" w:line="320" w:lineRule="atLeast"/>
        <w:ind w:left="708" w:hanging="708"/>
        <w:jc w:val="both"/>
        <w:rPr>
          <w:rFonts w:ascii="Times" w:eastAsiaTheme="minorEastAsia" w:hAnsi="Times" w:cs="Times"/>
          <w:kern w:val="0"/>
          <w:lang w:val="en-US" w:eastAsia="pl-PL"/>
        </w:rPr>
      </w:pPr>
      <w:r w:rsidRPr="000519C6">
        <w:rPr>
          <w:rFonts w:ascii="Times" w:eastAsiaTheme="minorEastAsia" w:hAnsi="Times"/>
          <w:kern w:val="0"/>
          <w:lang w:val="en-US" w:eastAsia="pl-PL"/>
        </w:rPr>
        <w:t xml:space="preserve">Krotoski, A. (2019). </w:t>
      </w:r>
      <w:r w:rsidRPr="000519C6">
        <w:rPr>
          <w:rFonts w:ascii="Times" w:eastAsiaTheme="minorEastAsia" w:hAnsi="Times"/>
          <w:i/>
          <w:kern w:val="0"/>
          <w:lang w:val="en-US" w:eastAsia="pl-PL"/>
        </w:rPr>
        <w:t xml:space="preserve">Young People, Technology and Risk. </w:t>
      </w:r>
      <w:r w:rsidRPr="000519C6">
        <w:rPr>
          <w:rFonts w:ascii="Times" w:eastAsiaTheme="minorEastAsia" w:hAnsi="Times"/>
          <w:kern w:val="0"/>
          <w:lang w:val="en-US" w:eastAsia="pl-PL"/>
        </w:rPr>
        <w:t>London: London School of Economics. https://www.theguardian.com/technology/2011/jun/26/untangling-web-krotoski-youth-culture</w:t>
      </w:r>
    </w:p>
    <w:p w14:paraId="1EDFECFE" w14:textId="77777777" w:rsidR="00EA7559" w:rsidRPr="000519C6" w:rsidRDefault="00EA7559" w:rsidP="00EA7559">
      <w:pPr>
        <w:spacing w:line="360" w:lineRule="auto"/>
        <w:ind w:left="708" w:hanging="708"/>
        <w:jc w:val="both"/>
        <w:rPr>
          <w:rFonts w:ascii="Times" w:eastAsia="Times New Roman" w:hAnsi="Times"/>
          <w:lang w:val="en-US"/>
        </w:rPr>
      </w:pPr>
      <w:r w:rsidRPr="000519C6">
        <w:rPr>
          <w:rFonts w:ascii="Times" w:hAnsi="Times"/>
          <w:lang w:val="en-US"/>
        </w:rPr>
        <w:t xml:space="preserve">Laurillard, D. (2008).  </w:t>
      </w:r>
      <w:r w:rsidRPr="000519C6">
        <w:rPr>
          <w:rFonts w:ascii="Times" w:eastAsia="Times New Roman" w:hAnsi="Times"/>
          <w:bCs/>
          <w:kern w:val="0"/>
          <w:shd w:val="clear" w:color="auto" w:fill="FFFFFF"/>
          <w:lang w:val="en-US" w:eastAsia="pl-PL"/>
        </w:rPr>
        <w:t>Technology Enhanced Learning as a Tool for Pedagogical Innovation</w:t>
      </w:r>
      <w:r w:rsidRPr="000519C6">
        <w:rPr>
          <w:rFonts w:ascii="Times" w:eastAsia="Times New Roman" w:hAnsi="Times"/>
          <w:b/>
          <w:bCs/>
          <w:kern w:val="0"/>
          <w:shd w:val="clear" w:color="auto" w:fill="FFFFFF"/>
          <w:lang w:val="en-US" w:eastAsia="pl-PL"/>
        </w:rPr>
        <w:t xml:space="preserve"> </w:t>
      </w:r>
      <w:r w:rsidRPr="000519C6">
        <w:rPr>
          <w:rStyle w:val="Wyrnienie"/>
          <w:rFonts w:ascii="Times" w:eastAsia="Times New Roman" w:hAnsi="Times"/>
          <w:bdr w:val="none" w:sz="0" w:space="0" w:color="auto" w:frame="1"/>
          <w:shd w:val="clear" w:color="auto" w:fill="FFFFFF"/>
          <w:lang w:val="en-US"/>
        </w:rPr>
        <w:t>Journal of Philosophy of Education</w:t>
      </w:r>
      <w:r w:rsidRPr="000519C6">
        <w:rPr>
          <w:rFonts w:ascii="Times" w:eastAsia="Times New Roman" w:hAnsi="Times"/>
          <w:shd w:val="clear" w:color="auto" w:fill="FFFFFF"/>
          <w:lang w:val="en-US"/>
        </w:rPr>
        <w:t>, 42(3-4), 521–533 </w:t>
      </w:r>
      <w:hyperlink r:id="rId11" w:history="1">
        <w:r w:rsidRPr="000519C6">
          <w:rPr>
            <w:rStyle w:val="Hipercze"/>
            <w:rFonts w:ascii="Times" w:hAnsi="Times"/>
            <w:bdr w:val="none" w:sz="0" w:space="0" w:color="auto" w:frame="1"/>
            <w:shd w:val="clear" w:color="auto" w:fill="FFFFFF"/>
            <w:lang w:val="en-US"/>
          </w:rPr>
          <w:t>https://doi.org/10.1111/j.1467-9752.2008.00658.x</w:t>
        </w:r>
      </w:hyperlink>
      <w:r w:rsidRPr="000519C6">
        <w:rPr>
          <w:rFonts w:ascii="Times" w:eastAsia="Times New Roman" w:hAnsi="Times"/>
          <w:lang w:val="en-US"/>
        </w:rPr>
        <w:t xml:space="preserve">   </w:t>
      </w:r>
    </w:p>
    <w:p w14:paraId="0F939F99" w14:textId="77777777" w:rsidR="00EA7559" w:rsidRPr="000519C6" w:rsidRDefault="00EA7559" w:rsidP="00EA7559">
      <w:pPr>
        <w:ind w:left="708" w:hanging="708"/>
        <w:jc w:val="both"/>
        <w:rPr>
          <w:rFonts w:ascii="Times" w:eastAsia="Times New Roman" w:hAnsi="Times"/>
        </w:rPr>
      </w:pPr>
      <w:r w:rsidRPr="000519C6">
        <w:rPr>
          <w:rFonts w:ascii="Times" w:eastAsia="Times New Roman" w:hAnsi="Times"/>
          <w:kern w:val="0"/>
          <w:shd w:val="clear" w:color="auto" w:fill="FFFFFF"/>
          <w:lang w:eastAsia="pl-PL"/>
        </w:rPr>
        <w:t xml:space="preserve">Light, B., Burgess J. &amp; Duguay S. (2018). </w:t>
      </w:r>
      <w:r w:rsidRPr="000519C6">
        <w:rPr>
          <w:rFonts w:ascii="Times" w:eastAsia="Times New Roman" w:hAnsi="Times"/>
          <w:i/>
          <w:kern w:val="0"/>
          <w:shd w:val="clear" w:color="auto" w:fill="FFFFFF"/>
          <w:lang w:eastAsia="pl-PL"/>
        </w:rPr>
        <w:t>The walkthrough method: An approach to the study of apps</w:t>
      </w:r>
      <w:r w:rsidRPr="000519C6">
        <w:rPr>
          <w:rFonts w:ascii="Times" w:eastAsia="Times New Roman" w:hAnsi="Times"/>
          <w:kern w:val="0"/>
          <w:shd w:val="clear" w:color="auto" w:fill="FFFFFF"/>
          <w:lang w:eastAsia="pl-PL"/>
        </w:rPr>
        <w:t>. </w:t>
      </w:r>
      <w:r w:rsidRPr="000519C6">
        <w:rPr>
          <w:rFonts w:ascii="Times" w:eastAsia="Times New Roman" w:hAnsi="Times"/>
          <w:iCs/>
          <w:kern w:val="0"/>
          <w:shd w:val="clear" w:color="auto" w:fill="FFFFFF"/>
          <w:lang w:eastAsia="pl-PL"/>
        </w:rPr>
        <w:t>New Media &amp; Society</w:t>
      </w:r>
      <w:r w:rsidRPr="000519C6">
        <w:rPr>
          <w:rFonts w:ascii="Times" w:eastAsia="Times New Roman" w:hAnsi="Times"/>
          <w:kern w:val="0"/>
          <w:shd w:val="clear" w:color="auto" w:fill="FFFFFF"/>
          <w:lang w:eastAsia="pl-PL"/>
        </w:rPr>
        <w:t xml:space="preserve">, 20(3), 881–900. </w:t>
      </w:r>
      <w:r w:rsidRPr="000519C6">
        <w:rPr>
          <w:rFonts w:ascii="Times" w:eastAsia="Times New Roman" w:hAnsi="Times" w:cs="Arial"/>
          <w:shd w:val="clear" w:color="auto" w:fill="FFFFFF"/>
        </w:rPr>
        <w:t>DOI:</w:t>
      </w:r>
      <w:r w:rsidRPr="000519C6">
        <w:rPr>
          <w:rFonts w:ascii="Times" w:eastAsia="Times New Roman" w:hAnsi="Times"/>
        </w:rPr>
        <w:fldChar w:fldCharType="begin"/>
      </w:r>
      <w:r w:rsidRPr="000519C6">
        <w:rPr>
          <w:rFonts w:ascii="Times" w:eastAsia="Times New Roman" w:hAnsi="Times"/>
        </w:rPr>
        <w:instrText xml:space="preserve"> HYPERLINK "https://doi.org/10.1177/1461444816675438?urlappend=%3Futm_source%3Dresearchgate.net%26utm_medium%3Darticle" \t "_blank" </w:instrText>
      </w:r>
      <w:r w:rsidRPr="000519C6">
        <w:rPr>
          <w:rFonts w:ascii="Times" w:eastAsia="Times New Roman" w:hAnsi="Times"/>
        </w:rPr>
        <w:fldChar w:fldCharType="separate"/>
      </w:r>
      <w:r w:rsidRPr="000519C6">
        <w:rPr>
          <w:rStyle w:val="Hipercze"/>
          <w:rFonts w:ascii="Times" w:eastAsia="Times New Roman" w:hAnsi="Times" w:cs="Arial"/>
          <w:bdr w:val="none" w:sz="0" w:space="0" w:color="auto" w:frame="1"/>
          <w:shd w:val="clear" w:color="auto" w:fill="FFFFFF"/>
        </w:rPr>
        <w:t>10.1177/1461444816675438</w:t>
      </w:r>
      <w:r w:rsidRPr="000519C6">
        <w:rPr>
          <w:rFonts w:ascii="Times" w:eastAsia="Times New Roman" w:hAnsi="Times"/>
        </w:rPr>
        <w:fldChar w:fldCharType="end"/>
      </w:r>
    </w:p>
    <w:p w14:paraId="2D5E6376" w14:textId="77777777" w:rsidR="00EA7559" w:rsidRPr="000519C6" w:rsidRDefault="00EA7559" w:rsidP="00EA7559">
      <w:pPr>
        <w:ind w:left="708" w:hanging="708"/>
        <w:jc w:val="both"/>
        <w:rPr>
          <w:rFonts w:ascii="Times" w:eastAsia="Times New Roman" w:hAnsi="Times"/>
        </w:rPr>
      </w:pPr>
      <w:r w:rsidRPr="000519C6">
        <w:rPr>
          <w:rFonts w:ascii="Times" w:hAnsi="Times"/>
        </w:rPr>
        <w:t xml:space="preserve">Livingstone, S. (2004). Media Literacy and the challenge of new information and communication technologies. </w:t>
      </w:r>
      <w:r w:rsidRPr="000519C6">
        <w:rPr>
          <w:rFonts w:ascii="Times" w:hAnsi="Times"/>
          <w:i/>
        </w:rPr>
        <w:t xml:space="preserve">The Communication review, </w:t>
      </w:r>
      <w:r w:rsidRPr="000519C6">
        <w:rPr>
          <w:rFonts w:ascii="Times" w:hAnsi="Times"/>
        </w:rPr>
        <w:t xml:space="preserve">7(1), 3-14. </w:t>
      </w:r>
      <w:r w:rsidRPr="000519C6">
        <w:rPr>
          <w:rFonts w:ascii="Times" w:eastAsia="Times New Roman" w:hAnsi="Times" w:cs="Arial"/>
          <w:shd w:val="clear" w:color="auto" w:fill="FFFFFF"/>
        </w:rPr>
        <w:t>DOI:</w:t>
      </w:r>
      <w:r w:rsidRPr="000519C6">
        <w:rPr>
          <w:rFonts w:ascii="Times" w:eastAsia="Times New Roman" w:hAnsi="Times"/>
        </w:rPr>
        <w:fldChar w:fldCharType="begin"/>
      </w:r>
      <w:r w:rsidRPr="000519C6">
        <w:rPr>
          <w:rFonts w:ascii="Times" w:eastAsia="Times New Roman" w:hAnsi="Times"/>
        </w:rPr>
        <w:instrText xml:space="preserve"> HYPERLINK "https://doi.org/10.1080/10714420490280152?urlappend=%3Futm_source%3Dresearchgate.net%26utm_medium%3Darticle" \t "_blank" </w:instrText>
      </w:r>
      <w:r w:rsidRPr="000519C6">
        <w:rPr>
          <w:rFonts w:ascii="Times" w:eastAsia="Times New Roman" w:hAnsi="Times"/>
        </w:rPr>
        <w:fldChar w:fldCharType="separate"/>
      </w:r>
      <w:r w:rsidRPr="000519C6">
        <w:rPr>
          <w:rStyle w:val="Hipercze"/>
          <w:rFonts w:ascii="Times" w:eastAsia="Times New Roman" w:hAnsi="Times" w:cs="Arial"/>
          <w:bdr w:val="none" w:sz="0" w:space="0" w:color="auto" w:frame="1"/>
          <w:shd w:val="clear" w:color="auto" w:fill="FFFFFF"/>
        </w:rPr>
        <w:t>10.1080/10714420490280152</w:t>
      </w:r>
      <w:r w:rsidRPr="000519C6">
        <w:rPr>
          <w:rFonts w:ascii="Times" w:eastAsia="Times New Roman" w:hAnsi="Times"/>
        </w:rPr>
        <w:fldChar w:fldCharType="end"/>
      </w:r>
    </w:p>
    <w:p w14:paraId="191A6629" w14:textId="77777777" w:rsidR="00EA7559" w:rsidRPr="000519C6" w:rsidRDefault="00EA7559" w:rsidP="00EA7559">
      <w:pPr>
        <w:widowControl w:val="0"/>
        <w:autoSpaceDE w:val="0"/>
        <w:autoSpaceDN w:val="0"/>
        <w:adjustRightInd w:val="0"/>
        <w:spacing w:after="240" w:line="360" w:lineRule="auto"/>
        <w:ind w:left="708" w:hanging="708"/>
        <w:jc w:val="both"/>
        <w:rPr>
          <w:rFonts w:ascii="Times" w:eastAsiaTheme="minorEastAsia" w:hAnsi="Times" w:cs="Times"/>
          <w:kern w:val="0"/>
          <w:lang w:val="en-US" w:eastAsia="pl-PL"/>
        </w:rPr>
      </w:pPr>
      <w:r w:rsidRPr="000519C6">
        <w:rPr>
          <w:rFonts w:ascii="Times" w:eastAsiaTheme="minorEastAsia" w:hAnsi="Times"/>
          <w:kern w:val="0"/>
          <w:lang w:val="en-US" w:eastAsia="pl-PL"/>
        </w:rPr>
        <w:t xml:space="preserve">Łuc, I. (2018). Edukacja medialna w szkole podstawowej pomiędzy teorią a koniecznością edukacyjną. </w:t>
      </w:r>
      <w:r w:rsidRPr="000519C6">
        <w:rPr>
          <w:rFonts w:ascii="Times" w:eastAsiaTheme="minorEastAsia" w:hAnsi="Times" w:cs="Times"/>
          <w:i/>
          <w:iCs/>
          <w:kern w:val="0"/>
          <w:lang w:val="en-US" w:eastAsia="pl-PL"/>
        </w:rPr>
        <w:t>Studia z Teorii Wychowania</w:t>
      </w:r>
      <w:r w:rsidRPr="000519C6">
        <w:rPr>
          <w:rFonts w:ascii="Times" w:eastAsiaTheme="minorEastAsia" w:hAnsi="Times"/>
          <w:kern w:val="0"/>
          <w:lang w:val="en-US" w:eastAsia="pl-PL"/>
        </w:rPr>
        <w:t xml:space="preserve">, </w:t>
      </w:r>
      <w:r w:rsidRPr="000519C6">
        <w:rPr>
          <w:rFonts w:ascii="Times" w:eastAsiaTheme="minorEastAsia" w:hAnsi="Times" w:cs="Times"/>
          <w:i/>
          <w:iCs/>
          <w:kern w:val="0"/>
          <w:lang w:val="en-US" w:eastAsia="pl-PL"/>
        </w:rPr>
        <w:t>9</w:t>
      </w:r>
      <w:r w:rsidRPr="000519C6">
        <w:rPr>
          <w:rFonts w:ascii="Times" w:eastAsiaTheme="minorEastAsia" w:hAnsi="Times"/>
          <w:kern w:val="0"/>
          <w:lang w:val="en-US" w:eastAsia="pl-PL"/>
        </w:rPr>
        <w:t>/</w:t>
      </w:r>
      <w:r w:rsidRPr="000519C6">
        <w:rPr>
          <w:rFonts w:ascii="Times" w:eastAsiaTheme="minorEastAsia" w:hAnsi="Times" w:cs="Times"/>
          <w:i/>
          <w:iCs/>
          <w:kern w:val="0"/>
          <w:lang w:val="en-US" w:eastAsia="pl-PL"/>
        </w:rPr>
        <w:t>3(24)</w:t>
      </w:r>
      <w:r w:rsidRPr="000519C6">
        <w:rPr>
          <w:rFonts w:ascii="Times" w:eastAsiaTheme="minorEastAsia" w:hAnsi="Times"/>
          <w:kern w:val="0"/>
          <w:lang w:val="en-US" w:eastAsia="pl-PL"/>
        </w:rPr>
        <w:t xml:space="preserve">, 179–200. </w:t>
      </w:r>
      <w:r w:rsidRPr="00B73FE0">
        <w:rPr>
          <w:rFonts w:ascii="Times" w:eastAsiaTheme="minorEastAsia" w:hAnsi="Times"/>
          <w:kern w:val="0"/>
          <w:lang w:val="en-US" w:eastAsia="pl-PL"/>
        </w:rPr>
        <w:t>https://bazhum.muzhp.pl/media/texts/studia-z-teorii-wychowania/2018-tom-9-numer-3-24/izabela-uc-nr-3-2018.pdf</w:t>
      </w:r>
    </w:p>
    <w:p w14:paraId="24CDE087" w14:textId="77777777" w:rsidR="00EA7559" w:rsidRPr="000519C6" w:rsidRDefault="00EA7559" w:rsidP="00EA7559">
      <w:pPr>
        <w:pStyle w:val="Tekstprzypisudolnego"/>
        <w:spacing w:line="360" w:lineRule="auto"/>
        <w:ind w:left="708" w:hanging="708"/>
        <w:rPr>
          <w:rFonts w:ascii="Times" w:hAnsi="Times"/>
          <w:sz w:val="24"/>
          <w:szCs w:val="24"/>
          <w:lang w:bidi="en-GB"/>
        </w:rPr>
      </w:pPr>
      <w:r w:rsidRPr="000519C6">
        <w:rPr>
          <w:rFonts w:ascii="Times" w:hAnsi="Times"/>
          <w:sz w:val="24"/>
          <w:szCs w:val="24"/>
          <w:lang w:bidi="en-GB"/>
        </w:rPr>
        <w:t>Markowska, M.</w:t>
      </w:r>
      <w:r w:rsidRPr="000519C6">
        <w:rPr>
          <w:rFonts w:ascii="Times" w:hAnsi="Times"/>
          <w:i/>
          <w:sz w:val="24"/>
          <w:szCs w:val="24"/>
          <w:lang w:bidi="en-GB"/>
        </w:rPr>
        <w:t xml:space="preserve"> (2013). Analiza danych zastanych. Przewodnik dla studentów</w:t>
      </w:r>
      <w:r w:rsidRPr="000519C6">
        <w:rPr>
          <w:rFonts w:ascii="Times" w:hAnsi="Times"/>
          <w:sz w:val="24"/>
          <w:szCs w:val="24"/>
          <w:lang w:bidi="en-GB"/>
        </w:rPr>
        <w:t>, Wydawnictwo Naukowe Scholar.</w:t>
      </w:r>
    </w:p>
    <w:p w14:paraId="092B6646" w14:textId="77777777" w:rsidR="00EA7559" w:rsidRPr="000519C6" w:rsidRDefault="00EA7559" w:rsidP="00EA7559">
      <w:pPr>
        <w:pStyle w:val="Tekstprzypisudolnego"/>
        <w:spacing w:line="360" w:lineRule="auto"/>
        <w:ind w:left="708" w:hanging="708"/>
        <w:rPr>
          <w:rFonts w:ascii="Times" w:hAnsi="Times"/>
          <w:sz w:val="24"/>
          <w:szCs w:val="24"/>
        </w:rPr>
      </w:pPr>
      <w:r w:rsidRPr="000519C6">
        <w:rPr>
          <w:rFonts w:ascii="Times" w:hAnsi="Times"/>
          <w:sz w:val="24"/>
          <w:szCs w:val="24"/>
        </w:rPr>
        <w:t>Maziarz, M. (2010). Naprawdę jaka jest? Edukacja medialna i jej najbliższa przyszłość w polskiej szkole</w:t>
      </w:r>
      <w:r w:rsidRPr="000519C6">
        <w:rPr>
          <w:rFonts w:ascii="Times" w:hAnsi="Times"/>
          <w:i/>
          <w:sz w:val="24"/>
          <w:szCs w:val="24"/>
        </w:rPr>
        <w:t>.</w:t>
      </w:r>
      <w:r w:rsidRPr="000519C6">
        <w:rPr>
          <w:rFonts w:ascii="Times" w:hAnsi="Times"/>
          <w:sz w:val="24"/>
          <w:szCs w:val="24"/>
        </w:rPr>
        <w:t xml:space="preserve"> </w:t>
      </w:r>
      <w:r w:rsidRPr="000519C6">
        <w:rPr>
          <w:rFonts w:ascii="Times" w:hAnsi="Times"/>
          <w:i/>
          <w:sz w:val="24"/>
          <w:szCs w:val="24"/>
        </w:rPr>
        <w:t>Dziennikarstwo i Media</w:t>
      </w:r>
      <w:r w:rsidRPr="000519C6">
        <w:rPr>
          <w:rFonts w:ascii="Times" w:hAnsi="Times"/>
          <w:sz w:val="24"/>
          <w:szCs w:val="24"/>
        </w:rPr>
        <w:t>, 1, 222-230.</w:t>
      </w:r>
    </w:p>
    <w:p w14:paraId="60FF4CFE" w14:textId="77777777" w:rsidR="00EA7559" w:rsidRPr="000519C6" w:rsidRDefault="00EA7559" w:rsidP="00EA7559">
      <w:pPr>
        <w:spacing w:line="360" w:lineRule="auto"/>
        <w:ind w:left="708" w:hanging="708"/>
        <w:jc w:val="both"/>
        <w:rPr>
          <w:rFonts w:ascii="Times" w:eastAsia="Times New Roman" w:hAnsi="Times"/>
          <w:kern w:val="0"/>
          <w:shd w:val="clear" w:color="auto" w:fill="FFFFFF"/>
          <w:lang w:eastAsia="pl-PL"/>
        </w:rPr>
      </w:pPr>
      <w:r w:rsidRPr="000519C6">
        <w:rPr>
          <w:rFonts w:ascii="Times" w:hAnsi="Times"/>
        </w:rPr>
        <w:t xml:space="preserve">Maziarz, M. (2012). </w:t>
      </w:r>
      <w:r w:rsidRPr="000519C6">
        <w:rPr>
          <w:rFonts w:ascii="Times" w:eastAsia="Times New Roman" w:hAnsi="Times"/>
          <w:kern w:val="0"/>
          <w:shd w:val="clear" w:color="auto" w:fill="FFFFFF"/>
          <w:lang w:eastAsia="pl-PL"/>
        </w:rPr>
        <w:t>Edukacja medialna poprzez edukację dziennikarską</w:t>
      </w:r>
      <w:r w:rsidRPr="000519C6">
        <w:rPr>
          <w:rFonts w:ascii="Times" w:eastAsia="Times New Roman" w:hAnsi="Times"/>
          <w:i/>
          <w:kern w:val="0"/>
          <w:shd w:val="clear" w:color="auto" w:fill="FFFFFF"/>
          <w:lang w:eastAsia="pl-PL"/>
        </w:rPr>
        <w:t>.</w:t>
      </w:r>
      <w:r w:rsidRPr="000519C6">
        <w:rPr>
          <w:rFonts w:ascii="Times" w:eastAsia="Times New Roman" w:hAnsi="Times"/>
          <w:kern w:val="0"/>
          <w:shd w:val="clear" w:color="auto" w:fill="FFFFFF"/>
          <w:lang w:eastAsia="pl-PL"/>
        </w:rPr>
        <w:t xml:space="preserve"> </w:t>
      </w:r>
      <w:r w:rsidRPr="000519C6">
        <w:rPr>
          <w:rFonts w:ascii="Times" w:eastAsia="Times New Roman" w:hAnsi="Times"/>
          <w:i/>
          <w:kern w:val="0"/>
          <w:shd w:val="clear" w:color="auto" w:fill="FFFFFF"/>
          <w:lang w:eastAsia="pl-PL"/>
        </w:rPr>
        <w:t>Dziennikarstwo i Media</w:t>
      </w:r>
      <w:r w:rsidRPr="000519C6">
        <w:rPr>
          <w:rFonts w:ascii="Times" w:eastAsia="Times New Roman" w:hAnsi="Times"/>
          <w:kern w:val="0"/>
          <w:shd w:val="clear" w:color="auto" w:fill="FFFFFF"/>
          <w:lang w:eastAsia="pl-PL"/>
        </w:rPr>
        <w:t>, 3, 139- 150.</w:t>
      </w:r>
    </w:p>
    <w:p w14:paraId="3D3983A4" w14:textId="77777777" w:rsidR="00EA7559" w:rsidRPr="000519C6" w:rsidRDefault="00EA7559" w:rsidP="00EA7559">
      <w:pPr>
        <w:spacing w:line="360" w:lineRule="auto"/>
        <w:ind w:left="708" w:hanging="708"/>
        <w:jc w:val="both"/>
        <w:rPr>
          <w:rFonts w:ascii="Times" w:eastAsia="Times New Roman" w:hAnsi="Times"/>
          <w:kern w:val="0"/>
          <w:shd w:val="clear" w:color="auto" w:fill="FFFFFF"/>
          <w:lang w:eastAsia="pl-PL"/>
        </w:rPr>
      </w:pPr>
      <w:r w:rsidRPr="000519C6">
        <w:rPr>
          <w:rFonts w:ascii="Times" w:eastAsia="Times New Roman" w:hAnsi="Times"/>
          <w:kern w:val="0"/>
          <w:shd w:val="clear" w:color="auto" w:fill="FFFFFF"/>
          <w:lang w:eastAsia="pl-PL"/>
        </w:rPr>
        <w:t xml:space="preserve">Melosik, Z. (2013). </w:t>
      </w:r>
      <w:r w:rsidRPr="000519C6">
        <w:rPr>
          <w:rFonts w:ascii="Times" w:eastAsia="Times New Roman" w:hAnsi="Times"/>
          <w:i/>
          <w:kern w:val="0"/>
          <w:shd w:val="clear" w:color="auto" w:fill="FFFFFF"/>
          <w:lang w:eastAsia="pl-PL"/>
        </w:rPr>
        <w:t xml:space="preserve">Kultura popularna i tożsamość młodzieży.  </w:t>
      </w:r>
      <w:r w:rsidRPr="000519C6">
        <w:rPr>
          <w:rFonts w:ascii="Times" w:eastAsia="Times New Roman" w:hAnsi="Times"/>
          <w:kern w:val="0"/>
          <w:shd w:val="clear" w:color="auto" w:fill="FFFFFF"/>
          <w:lang w:eastAsia="pl-PL"/>
        </w:rPr>
        <w:t>Oficyna wydawnicza Impuls.</w:t>
      </w:r>
    </w:p>
    <w:p w14:paraId="627BFC79"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 xml:space="preserve">MEMIC model. (2019). </w:t>
      </w:r>
      <w:r w:rsidRPr="000519C6">
        <w:rPr>
          <w:rFonts w:ascii="Times" w:hAnsi="Times"/>
          <w:i/>
          <w:sz w:val="24"/>
          <w:szCs w:val="24"/>
          <w:lang w:bidi="en-GB"/>
        </w:rPr>
        <w:t xml:space="preserve">Model edukacji medialnej, informacyjnej i cyfrowej. </w:t>
      </w:r>
      <w:r w:rsidRPr="000519C6">
        <w:rPr>
          <w:rFonts w:ascii="Times" w:hAnsi="Times"/>
          <w:sz w:val="24"/>
          <w:szCs w:val="24"/>
          <w:lang w:bidi="en-GB"/>
        </w:rPr>
        <w:t>CEO.</w:t>
      </w:r>
    </w:p>
    <w:p w14:paraId="49919C40" w14:textId="77777777" w:rsidR="00EA7559" w:rsidRPr="00DC61D3" w:rsidRDefault="00EA7559" w:rsidP="00EA7559">
      <w:pPr>
        <w:pStyle w:val="Tekstprzypisudolnego"/>
        <w:spacing w:line="360" w:lineRule="auto"/>
        <w:ind w:left="709" w:hanging="709"/>
        <w:rPr>
          <w:rFonts w:ascii="Times New Roman" w:hAnsi="Times New Roman"/>
          <w:sz w:val="24"/>
          <w:szCs w:val="24"/>
          <w:lang w:bidi="en-GB"/>
        </w:rPr>
      </w:pPr>
      <w:r w:rsidRPr="000519C6">
        <w:rPr>
          <w:rFonts w:ascii="Times" w:hAnsi="Times"/>
          <w:sz w:val="24"/>
          <w:szCs w:val="24"/>
          <w:lang w:bidi="en-GB"/>
        </w:rPr>
        <w:t xml:space="preserve">Murawska-Najmiec, E. (2015). </w:t>
      </w:r>
      <w:r w:rsidRPr="000519C6">
        <w:rPr>
          <w:rFonts w:ascii="Times" w:hAnsi="Times"/>
          <w:i/>
          <w:sz w:val="24"/>
          <w:szCs w:val="24"/>
          <w:lang w:bidi="en-GB"/>
        </w:rPr>
        <w:t>Edukacja medialna w Polsce: krajowe podejście instytucjonalne w kontekście polityki europejskiej oraz dorobku społeczności i organizacji międzynarodowych</w:t>
      </w:r>
      <w:r w:rsidRPr="000519C6">
        <w:rPr>
          <w:rFonts w:ascii="Times" w:hAnsi="Times"/>
          <w:sz w:val="24"/>
          <w:szCs w:val="24"/>
          <w:lang w:bidi="en-GB"/>
        </w:rPr>
        <w:t xml:space="preserve"> w:</w:t>
      </w:r>
      <w:r w:rsidRPr="000519C6">
        <w:rPr>
          <w:rFonts w:ascii="Times" w:hAnsi="Times"/>
          <w:iCs/>
          <w:sz w:val="24"/>
          <w:szCs w:val="24"/>
          <w:lang w:bidi="en-GB"/>
        </w:rPr>
        <w:t xml:space="preserve"> </w:t>
      </w:r>
      <w:r w:rsidRPr="000519C6">
        <w:rPr>
          <w:rFonts w:ascii="Times" w:hAnsi="Times"/>
          <w:sz w:val="24"/>
          <w:szCs w:val="24"/>
          <w:lang w:bidi="en-GB"/>
        </w:rPr>
        <w:t xml:space="preserve">M. Federowicz &amp; S. Ratajski (Eds.), </w:t>
      </w:r>
      <w:r w:rsidRPr="000519C6">
        <w:rPr>
          <w:rFonts w:ascii="Times" w:hAnsi="Times"/>
          <w:i/>
          <w:sz w:val="24"/>
          <w:szCs w:val="24"/>
          <w:lang w:bidi="en-GB"/>
        </w:rPr>
        <w:t>O potrzebie edukacji medialnej w Polsce.</w:t>
      </w:r>
      <w:r>
        <w:rPr>
          <w:rFonts w:ascii="Times" w:hAnsi="Times"/>
          <w:sz w:val="24"/>
          <w:szCs w:val="24"/>
          <w:lang w:bidi="en-GB"/>
        </w:rPr>
        <w:t xml:space="preserve"> KRR i T, 256-260.</w:t>
      </w:r>
    </w:p>
    <w:p w14:paraId="72242B79" w14:textId="77777777" w:rsidR="00EA7559" w:rsidRPr="00456B01" w:rsidRDefault="00EA7559" w:rsidP="00EA7559">
      <w:pPr>
        <w:spacing w:after="0" w:line="360" w:lineRule="auto"/>
        <w:ind w:left="708" w:hanging="708"/>
        <w:jc w:val="both"/>
        <w:rPr>
          <w:rFonts w:ascii="Times" w:eastAsia="Times New Roman" w:hAnsi="Times"/>
          <w:kern w:val="0"/>
          <w:shd w:val="clear" w:color="auto" w:fill="FFFFFF"/>
          <w:lang w:eastAsia="pl-PL"/>
        </w:rPr>
      </w:pPr>
      <w:r w:rsidRPr="00456B01">
        <w:rPr>
          <w:rFonts w:ascii="Times" w:eastAsia="Times New Roman" w:hAnsi="Times"/>
          <w:kern w:val="0"/>
          <w:shd w:val="clear" w:color="auto" w:fill="FFFFFF"/>
          <w:lang w:eastAsia="pl-PL"/>
        </w:rPr>
        <w:t xml:space="preserve">Muñoz-González, R. (2024). </w:t>
      </w:r>
      <w:r w:rsidRPr="00456B01">
        <w:rPr>
          <w:rFonts w:ascii="Times" w:eastAsia="Times New Roman" w:hAnsi="Times"/>
          <w:i/>
          <w:kern w:val="0"/>
          <w:shd w:val="clear" w:color="auto" w:fill="FFFFFF"/>
          <w:lang w:eastAsia="pl-PL"/>
        </w:rPr>
        <w:t>Young People, Media, and  Nostalgia:  An  Ethnography  of  How  Youth Imagine Their Lives</w:t>
      </w:r>
      <w:r w:rsidRPr="00456B01">
        <w:rPr>
          <w:rFonts w:ascii="Times" w:eastAsia="Times New Roman" w:hAnsi="Times"/>
          <w:kern w:val="0"/>
          <w:shd w:val="clear" w:color="auto" w:fill="FFFFFF"/>
          <w:lang w:eastAsia="pl-PL"/>
        </w:rPr>
        <w:t>. Routledge.</w:t>
      </w:r>
    </w:p>
    <w:p w14:paraId="70A4B432" w14:textId="77777777" w:rsidR="00EA7559" w:rsidRPr="002B6FBF" w:rsidRDefault="00EA7559" w:rsidP="00EA7559">
      <w:pPr>
        <w:spacing w:line="360" w:lineRule="auto"/>
        <w:ind w:left="708" w:hanging="708"/>
        <w:rPr>
          <w:rFonts w:ascii="Times" w:eastAsia="Times New Roman" w:hAnsi="Times"/>
        </w:rPr>
      </w:pPr>
      <w:r w:rsidRPr="00456B01">
        <w:rPr>
          <w:rFonts w:ascii="Times" w:eastAsia="Times New Roman" w:hAnsi="Times"/>
          <w:kern w:val="0"/>
          <w:shd w:val="clear" w:color="auto" w:fill="FFFFFF"/>
          <w:lang w:eastAsia="pl-PL"/>
        </w:rPr>
        <w:t xml:space="preserve">Nesi, J., &amp; Prinstein, M. J. (2015). </w:t>
      </w:r>
      <w:r w:rsidRPr="00456B01">
        <w:rPr>
          <w:rFonts w:ascii="Times" w:eastAsia="Times New Roman" w:hAnsi="Times"/>
          <w:i/>
          <w:kern w:val="0"/>
          <w:shd w:val="clear" w:color="auto" w:fill="FFFFFF"/>
          <w:lang w:eastAsia="pl-PL"/>
        </w:rPr>
        <w:t xml:space="preserve">Using social media for social comparison and feedback-seeking: Gender and popularity moderate associations with depressive symptoms. </w:t>
      </w:r>
      <w:r w:rsidRPr="00456B01">
        <w:rPr>
          <w:rFonts w:ascii="Times" w:eastAsia="Times New Roman" w:hAnsi="Times"/>
          <w:kern w:val="0"/>
          <w:shd w:val="clear" w:color="auto" w:fill="FFFFFF"/>
          <w:lang w:eastAsia="pl-PL"/>
        </w:rPr>
        <w:t xml:space="preserve">Journal of Abnormal Child Psychology, 43(8), 1427-1438. </w:t>
      </w:r>
      <w:r w:rsidRPr="00456B01">
        <w:rPr>
          <w:rFonts w:ascii="Times" w:eastAsia="Times New Roman" w:hAnsi="Times"/>
          <w:shd w:val="clear" w:color="auto" w:fill="FFFFFF"/>
        </w:rPr>
        <w:t>doi: </w:t>
      </w:r>
      <w:r w:rsidRPr="00456B01">
        <w:rPr>
          <w:rFonts w:ascii="Times" w:eastAsia="Times New Roman" w:hAnsi="Times"/>
        </w:rPr>
        <w:fldChar w:fldCharType="begin"/>
      </w:r>
      <w:r w:rsidRPr="00456B01">
        <w:rPr>
          <w:rFonts w:ascii="Times" w:eastAsia="Times New Roman" w:hAnsi="Times"/>
        </w:rPr>
        <w:instrText xml:space="preserve"> HYPERLINK "https://doi.org/10.1007/s10802-015-0020-0" \t "_blank" </w:instrText>
      </w:r>
      <w:r w:rsidRPr="00456B01">
        <w:rPr>
          <w:rFonts w:ascii="Times" w:eastAsia="Times New Roman" w:hAnsi="Times"/>
        </w:rPr>
        <w:fldChar w:fldCharType="separate"/>
      </w:r>
      <w:r w:rsidRPr="00456B01">
        <w:rPr>
          <w:rStyle w:val="Hipercze"/>
          <w:rFonts w:ascii="Times" w:eastAsia="Times New Roman" w:hAnsi="Times"/>
          <w:shd w:val="clear" w:color="auto" w:fill="FFFFFF"/>
        </w:rPr>
        <w:t>10.1007/s10802-015-0020-0</w:t>
      </w:r>
      <w:r w:rsidRPr="00456B01">
        <w:rPr>
          <w:rFonts w:ascii="Times" w:eastAsia="Times New Roman" w:hAnsi="Times"/>
        </w:rPr>
        <w:fldChar w:fldCharType="end"/>
      </w:r>
    </w:p>
    <w:p w14:paraId="79A1CA16"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 xml:space="preserve">Nowak, S. (2011) </w:t>
      </w:r>
      <w:r w:rsidRPr="000519C6">
        <w:rPr>
          <w:rFonts w:ascii="Times" w:hAnsi="Times"/>
          <w:i/>
          <w:sz w:val="24"/>
          <w:szCs w:val="24"/>
          <w:lang w:bidi="en-GB"/>
        </w:rPr>
        <w:t>Metodologia nauk społecznych</w:t>
      </w:r>
      <w:r w:rsidRPr="000519C6">
        <w:rPr>
          <w:rFonts w:ascii="Times" w:hAnsi="Times"/>
          <w:iCs/>
          <w:sz w:val="24"/>
          <w:szCs w:val="24"/>
          <w:lang w:bidi="en-GB"/>
        </w:rPr>
        <w:t>.</w:t>
      </w:r>
      <w:r w:rsidRPr="000519C6">
        <w:rPr>
          <w:rFonts w:ascii="Times" w:hAnsi="Times"/>
          <w:i/>
          <w:sz w:val="24"/>
          <w:szCs w:val="24"/>
          <w:lang w:bidi="en-GB"/>
        </w:rPr>
        <w:t xml:space="preserve"> </w:t>
      </w:r>
      <w:r w:rsidRPr="000519C6">
        <w:rPr>
          <w:rFonts w:ascii="Times" w:hAnsi="Times"/>
          <w:sz w:val="24"/>
          <w:szCs w:val="24"/>
          <w:lang w:bidi="en-GB"/>
        </w:rPr>
        <w:t>PWN.</w:t>
      </w:r>
    </w:p>
    <w:p w14:paraId="4ED2ABCC"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 xml:space="preserve">Nowicka, E. (2023). </w:t>
      </w:r>
      <w:r w:rsidRPr="00DC61D3">
        <w:rPr>
          <w:rFonts w:ascii="Times" w:hAnsi="Times"/>
          <w:sz w:val="24"/>
          <w:szCs w:val="24"/>
          <w:lang w:bidi="en-GB"/>
        </w:rPr>
        <w:t>Edukacja medialna wobec zagrożeń w cyfrowym świecie dziecka</w:t>
      </w:r>
      <w:r>
        <w:rPr>
          <w:rFonts w:ascii="Times" w:hAnsi="Times"/>
          <w:sz w:val="24"/>
          <w:szCs w:val="24"/>
          <w:lang w:bidi="en-GB"/>
        </w:rPr>
        <w:t xml:space="preserve">, </w:t>
      </w:r>
      <w:r w:rsidRPr="00DC61D3">
        <w:rPr>
          <w:rFonts w:ascii="Times" w:hAnsi="Times"/>
          <w:i/>
          <w:sz w:val="24"/>
          <w:szCs w:val="24"/>
          <w:lang w:bidi="en-GB"/>
        </w:rPr>
        <w:t>Wychowanie w Rodzinie</w:t>
      </w:r>
      <w:r>
        <w:rPr>
          <w:rFonts w:ascii="Times" w:hAnsi="Times"/>
          <w:sz w:val="24"/>
          <w:szCs w:val="24"/>
          <w:lang w:bidi="en-GB"/>
        </w:rPr>
        <w:t xml:space="preserve">. 4(23), </w:t>
      </w:r>
      <w:r w:rsidRPr="000519C6">
        <w:rPr>
          <w:rFonts w:ascii="Times" w:hAnsi="Times"/>
          <w:sz w:val="24"/>
          <w:szCs w:val="24"/>
          <w:lang w:bidi="en-GB"/>
        </w:rPr>
        <w:t>197</w:t>
      </w:r>
      <w:r w:rsidRPr="000519C6">
        <w:rPr>
          <w:rFonts w:ascii="Lucida Grande" w:hAnsi="Lucida Grande" w:cs="Lucida Grande"/>
          <w:sz w:val="24"/>
          <w:szCs w:val="24"/>
          <w:lang w:bidi="en-GB"/>
        </w:rPr>
        <w:t>‒</w:t>
      </w:r>
      <w:r w:rsidRPr="000519C6">
        <w:rPr>
          <w:rFonts w:ascii="Times" w:hAnsi="Times"/>
          <w:sz w:val="24"/>
          <w:szCs w:val="24"/>
          <w:lang w:bidi="en-GB"/>
        </w:rPr>
        <w:t>208.</w:t>
      </w:r>
    </w:p>
    <w:p w14:paraId="03158A0E"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 xml:space="preserve">Nowicka, E. (2019). Edukacja medialna w rodzinie a zapobieganie zagrożeniom medialnym, </w:t>
      </w:r>
      <w:r w:rsidRPr="000519C6">
        <w:rPr>
          <w:rFonts w:ascii="Times" w:hAnsi="Times"/>
          <w:i/>
          <w:sz w:val="24"/>
          <w:szCs w:val="24"/>
          <w:lang w:bidi="en-GB"/>
        </w:rPr>
        <w:t>Dyskursy Młodych Andragogów</w:t>
      </w:r>
      <w:r w:rsidRPr="000519C6">
        <w:rPr>
          <w:rFonts w:ascii="Times" w:hAnsi="Times"/>
          <w:sz w:val="24"/>
          <w:szCs w:val="24"/>
          <w:lang w:bidi="en-GB"/>
        </w:rPr>
        <w:t>, 20, 317</w:t>
      </w:r>
      <w:r w:rsidRPr="000519C6">
        <w:rPr>
          <w:rFonts w:ascii="Lucida Grande" w:hAnsi="Lucida Grande" w:cs="Lucida Grande"/>
          <w:sz w:val="24"/>
          <w:szCs w:val="24"/>
          <w:lang w:bidi="en-GB"/>
        </w:rPr>
        <w:t>‒</w:t>
      </w:r>
      <w:r w:rsidRPr="000519C6">
        <w:rPr>
          <w:rFonts w:ascii="Times" w:hAnsi="Times"/>
          <w:sz w:val="24"/>
          <w:szCs w:val="24"/>
          <w:lang w:bidi="en-GB"/>
        </w:rPr>
        <w:t>327.</w:t>
      </w:r>
    </w:p>
    <w:p w14:paraId="6C5DDF80"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Nowicka, E. (2021). Nauczyciel edukacji medialnej</w:t>
      </w:r>
      <w:r w:rsidRPr="000519C6">
        <w:rPr>
          <w:rFonts w:ascii="Times" w:hAnsi="Times"/>
          <w:i/>
          <w:sz w:val="24"/>
          <w:szCs w:val="24"/>
          <w:lang w:bidi="en-GB"/>
        </w:rPr>
        <w:t>. Lubelski Rocznik Pedagogiczny,  40(2),</w:t>
      </w:r>
      <w:r w:rsidRPr="000519C6">
        <w:rPr>
          <w:rFonts w:ascii="Times" w:hAnsi="Times"/>
          <w:sz w:val="24"/>
          <w:szCs w:val="24"/>
          <w:lang w:bidi="en-GB"/>
        </w:rPr>
        <w:t xml:space="preserve">187. </w:t>
      </w:r>
    </w:p>
    <w:p w14:paraId="685415FB" w14:textId="77777777" w:rsidR="00EA7559" w:rsidRPr="000519C6" w:rsidRDefault="00EA7559" w:rsidP="00EA7559">
      <w:pPr>
        <w:pStyle w:val="Tekstprzypisudolnego"/>
        <w:spacing w:line="360" w:lineRule="auto"/>
        <w:ind w:left="708" w:hanging="708"/>
        <w:rPr>
          <w:rFonts w:ascii="Times" w:hAnsi="Times"/>
          <w:sz w:val="24"/>
          <w:szCs w:val="24"/>
          <w:lang w:bidi="en-GB"/>
        </w:rPr>
      </w:pPr>
      <w:r w:rsidRPr="000519C6">
        <w:rPr>
          <w:rFonts w:ascii="Times" w:hAnsi="Times"/>
          <w:sz w:val="24"/>
          <w:szCs w:val="24"/>
          <w:lang w:bidi="en-GB"/>
        </w:rPr>
        <w:t>Ogonowska, A. (2006).</w:t>
      </w:r>
      <w:r w:rsidRPr="000519C6">
        <w:rPr>
          <w:rFonts w:ascii="Times" w:hAnsi="Times"/>
          <w:i/>
          <w:sz w:val="24"/>
          <w:szCs w:val="24"/>
          <w:lang w:bidi="en-GB"/>
        </w:rPr>
        <w:t xml:space="preserve"> Szkolny słownik mediów elektronicznych</w:t>
      </w:r>
      <w:r w:rsidRPr="000519C6">
        <w:rPr>
          <w:rFonts w:ascii="Times" w:hAnsi="Times"/>
          <w:sz w:val="24"/>
          <w:szCs w:val="24"/>
          <w:lang w:bidi="en-GB"/>
        </w:rPr>
        <w:t>, Wydawnictwo Edukacyjne.</w:t>
      </w:r>
    </w:p>
    <w:p w14:paraId="7CDC1EEA" w14:textId="77777777" w:rsidR="00EA7559" w:rsidRPr="00DC61D3" w:rsidRDefault="00EA7559" w:rsidP="00EA7559">
      <w:pPr>
        <w:pStyle w:val="Tekstprzypisudolnego"/>
        <w:spacing w:line="360" w:lineRule="auto"/>
        <w:ind w:left="709" w:hanging="709"/>
        <w:rPr>
          <w:rFonts w:ascii="Times New Roman" w:hAnsi="Times New Roman"/>
          <w:sz w:val="24"/>
          <w:szCs w:val="24"/>
        </w:rPr>
      </w:pPr>
      <w:r w:rsidRPr="000519C6">
        <w:rPr>
          <w:rFonts w:ascii="Times" w:hAnsi="Times"/>
          <w:sz w:val="24"/>
          <w:szCs w:val="24"/>
          <w:lang w:bidi="en-GB"/>
        </w:rPr>
        <w:t>Ogonowska, A. (2009).</w:t>
      </w:r>
      <w:r w:rsidRPr="000519C6">
        <w:rPr>
          <w:rFonts w:ascii="Times" w:hAnsi="Times"/>
          <w:i/>
          <w:sz w:val="24"/>
          <w:szCs w:val="24"/>
          <w:lang w:bidi="en-GB"/>
        </w:rPr>
        <w:t xml:space="preserve"> Telewizja w edukacji medialnej</w:t>
      </w:r>
      <w:r w:rsidRPr="000519C6">
        <w:rPr>
          <w:rFonts w:ascii="Times" w:hAnsi="Times"/>
          <w:sz w:val="24"/>
          <w:szCs w:val="24"/>
          <w:lang w:bidi="en-GB"/>
        </w:rPr>
        <w:t xml:space="preserve">. Towarzystwo Autorów i Wydawców </w:t>
      </w:r>
      <w:r>
        <w:rPr>
          <w:rFonts w:ascii="Times" w:hAnsi="Times"/>
          <w:sz w:val="24"/>
          <w:szCs w:val="24"/>
          <w:lang w:bidi="en-GB"/>
        </w:rPr>
        <w:t>Prac Naukowych Universitas, 56-60.</w:t>
      </w:r>
    </w:p>
    <w:p w14:paraId="239AE3F5" w14:textId="77777777" w:rsidR="00EA7559" w:rsidRPr="00456B01" w:rsidRDefault="00EA7559" w:rsidP="00EA7559">
      <w:pPr>
        <w:pStyle w:val="Tekstprzypisudolnego"/>
        <w:spacing w:line="360" w:lineRule="auto"/>
        <w:ind w:left="709" w:hanging="709"/>
        <w:rPr>
          <w:rFonts w:ascii="Times" w:hAnsi="Times"/>
          <w:sz w:val="24"/>
          <w:szCs w:val="24"/>
          <w:lang w:bidi="en-GB"/>
        </w:rPr>
      </w:pPr>
      <w:r w:rsidRPr="00456B01">
        <w:rPr>
          <w:rFonts w:ascii="Times" w:hAnsi="Times"/>
          <w:sz w:val="24"/>
          <w:szCs w:val="24"/>
          <w:lang w:bidi="en-GB"/>
        </w:rPr>
        <w:t xml:space="preserve">Ogonowska, A. (2014). </w:t>
      </w:r>
      <w:r w:rsidRPr="00456B01">
        <w:rPr>
          <w:rFonts w:ascii="Times" w:hAnsi="Times"/>
          <w:i/>
          <w:sz w:val="24"/>
          <w:szCs w:val="24"/>
          <w:lang w:bidi="en-GB"/>
        </w:rPr>
        <w:t>Współczesna edukacja medialna: teoria i rzeczywistość</w:t>
      </w:r>
      <w:r w:rsidRPr="00456B01">
        <w:rPr>
          <w:rFonts w:ascii="Times" w:hAnsi="Times"/>
          <w:iCs/>
          <w:sz w:val="24"/>
          <w:szCs w:val="24"/>
          <w:lang w:bidi="en-GB"/>
        </w:rPr>
        <w:t>,</w:t>
      </w:r>
      <w:r w:rsidRPr="00456B01">
        <w:rPr>
          <w:rFonts w:ascii="Times" w:hAnsi="Times"/>
          <w:i/>
          <w:sz w:val="24"/>
          <w:szCs w:val="24"/>
          <w:lang w:bidi="en-GB"/>
        </w:rPr>
        <w:t xml:space="preserve"> </w:t>
      </w:r>
      <w:r w:rsidRPr="00456B01">
        <w:rPr>
          <w:rFonts w:ascii="Times" w:hAnsi="Times"/>
          <w:iCs/>
          <w:sz w:val="24"/>
          <w:szCs w:val="24"/>
          <w:lang w:bidi="en-GB"/>
        </w:rPr>
        <w:t>Wydawnictwo Naukowe Uniwersytetu Pedagogicznego</w:t>
      </w:r>
      <w:r w:rsidRPr="00456B01">
        <w:rPr>
          <w:rFonts w:ascii="Times" w:hAnsi="Times"/>
          <w:sz w:val="24"/>
          <w:szCs w:val="24"/>
          <w:lang w:bidi="en-GB"/>
        </w:rPr>
        <w:t>.</w:t>
      </w:r>
    </w:p>
    <w:p w14:paraId="0827E5AE" w14:textId="77777777" w:rsidR="00EA7559" w:rsidRPr="00456B01" w:rsidRDefault="00EA7559" w:rsidP="00EA7559">
      <w:pPr>
        <w:spacing w:after="0" w:line="360" w:lineRule="auto"/>
        <w:ind w:left="708" w:hanging="708"/>
        <w:rPr>
          <w:rFonts w:ascii="Times" w:eastAsia="Times New Roman" w:hAnsi="Times"/>
          <w:kern w:val="0"/>
          <w:lang w:eastAsia="pl-PL"/>
        </w:rPr>
      </w:pPr>
      <w:r w:rsidRPr="00456B01">
        <w:rPr>
          <w:rFonts w:ascii="Times" w:eastAsia="Times New Roman" w:hAnsi="Times"/>
          <w:kern w:val="0"/>
          <w:shd w:val="clear" w:color="auto" w:fill="FFFFFF"/>
          <w:lang w:eastAsia="pl-PL"/>
        </w:rPr>
        <w:t xml:space="preserve">Papacharissi, Z. (Ed.). (2011). </w:t>
      </w:r>
      <w:r w:rsidRPr="00456B01">
        <w:rPr>
          <w:rFonts w:ascii="Times" w:eastAsia="Times New Roman" w:hAnsi="Times"/>
          <w:i/>
          <w:kern w:val="0"/>
          <w:shd w:val="clear" w:color="auto" w:fill="FFFFFF"/>
          <w:lang w:eastAsia="pl-PL"/>
        </w:rPr>
        <w:t>A networked self in </w:t>
      </w:r>
      <w:r w:rsidRPr="00456B01">
        <w:rPr>
          <w:rFonts w:ascii="Times" w:eastAsia="Times New Roman" w:hAnsi="Times"/>
          <w:i/>
          <w:iCs/>
          <w:kern w:val="0"/>
          <w:shd w:val="clear" w:color="auto" w:fill="FFFFFF"/>
          <w:lang w:eastAsia="pl-PL"/>
        </w:rPr>
        <w:t>a networked self: Identity, community, and culture on social network sites,</w:t>
      </w:r>
      <w:r w:rsidRPr="00456B01">
        <w:rPr>
          <w:rFonts w:ascii="Times" w:eastAsia="Times New Roman" w:hAnsi="Times"/>
          <w:kern w:val="0"/>
          <w:shd w:val="clear" w:color="auto" w:fill="FFFFFF"/>
          <w:lang w:eastAsia="pl-PL"/>
        </w:rPr>
        <w:t> 304–318. Routledge.</w:t>
      </w:r>
    </w:p>
    <w:p w14:paraId="7DA2F61C" w14:textId="77777777" w:rsidR="00EA7559" w:rsidRPr="00456B01" w:rsidRDefault="00EA7559" w:rsidP="00EA7559">
      <w:pPr>
        <w:spacing w:line="360" w:lineRule="auto"/>
        <w:ind w:left="708" w:hanging="708"/>
        <w:rPr>
          <w:rFonts w:ascii="Times" w:eastAsia="Times New Roman" w:hAnsi="Times"/>
          <w:kern w:val="0"/>
          <w:sz w:val="20"/>
          <w:szCs w:val="20"/>
          <w:lang w:eastAsia="pl-PL"/>
        </w:rPr>
      </w:pPr>
      <w:r w:rsidRPr="00456B01">
        <w:rPr>
          <w:rFonts w:ascii="Times" w:hAnsi="Times"/>
        </w:rPr>
        <w:t xml:space="preserve">Pasqale, F. (2015). The Black Box Society: The Secret Algorithms That Control Money and Information. Harvard University Press. </w:t>
      </w:r>
      <w:r w:rsidRPr="00456B01">
        <w:rPr>
          <w:rFonts w:ascii="Times" w:eastAsia="Times New Roman" w:hAnsi="Times"/>
          <w:color w:val="343332"/>
          <w:spacing w:val="-5"/>
          <w:kern w:val="0"/>
          <w:lang w:eastAsia="pl-PL"/>
        </w:rPr>
        <w:t>https://www.jstor.org/stable/j.ctt13x0hch</w:t>
      </w:r>
    </w:p>
    <w:p w14:paraId="6FC88F53" w14:textId="77777777" w:rsidR="00EA7559" w:rsidRPr="00DC61D3" w:rsidRDefault="00EA7559" w:rsidP="00EA7559">
      <w:pPr>
        <w:pStyle w:val="Tekstprzypisudolnego"/>
        <w:spacing w:line="360" w:lineRule="auto"/>
        <w:ind w:left="709" w:hanging="709"/>
        <w:rPr>
          <w:rFonts w:ascii="Times New Roman" w:hAnsi="Times New Roman"/>
          <w:sz w:val="24"/>
          <w:szCs w:val="24"/>
          <w:lang w:bidi="en-GB"/>
        </w:rPr>
      </w:pPr>
      <w:r w:rsidRPr="00456B01">
        <w:rPr>
          <w:rFonts w:ascii="Times" w:hAnsi="Times"/>
          <w:sz w:val="24"/>
          <w:szCs w:val="24"/>
          <w:lang w:bidi="en-GB"/>
        </w:rPr>
        <w:t xml:space="preserve">Pilch, T. &amp; Bauman T. (2001) </w:t>
      </w:r>
      <w:r w:rsidRPr="00456B01">
        <w:rPr>
          <w:rFonts w:ascii="Times" w:hAnsi="Times"/>
          <w:i/>
          <w:sz w:val="24"/>
          <w:szCs w:val="24"/>
          <w:lang w:bidi="en-GB"/>
        </w:rPr>
        <w:t>Zasady badań pedagogicznych</w:t>
      </w:r>
      <w:r w:rsidRPr="000519C6">
        <w:rPr>
          <w:rFonts w:ascii="Times" w:hAnsi="Times"/>
          <w:sz w:val="24"/>
          <w:szCs w:val="24"/>
          <w:lang w:bidi="en-GB"/>
        </w:rPr>
        <w:t>, Wydawnictwo Akademickie Żak</w:t>
      </w:r>
      <w:r>
        <w:rPr>
          <w:rFonts w:ascii="Times" w:hAnsi="Times"/>
          <w:sz w:val="24"/>
          <w:szCs w:val="24"/>
          <w:lang w:bidi="en-GB"/>
        </w:rPr>
        <w:t>, 67-70.</w:t>
      </w:r>
    </w:p>
    <w:p w14:paraId="7C2F466E" w14:textId="77777777" w:rsidR="00EA7559" w:rsidRPr="00DC61D3" w:rsidRDefault="00EA7559" w:rsidP="00EA7559">
      <w:pPr>
        <w:widowControl w:val="0"/>
        <w:autoSpaceDE w:val="0"/>
        <w:autoSpaceDN w:val="0"/>
        <w:adjustRightInd w:val="0"/>
        <w:spacing w:after="240" w:line="360" w:lineRule="auto"/>
        <w:ind w:left="708" w:hanging="708"/>
        <w:jc w:val="both"/>
        <w:rPr>
          <w:rFonts w:ascii="Times New Roman" w:eastAsiaTheme="minorEastAsia" w:hAnsi="Times New Roman"/>
          <w:kern w:val="0"/>
          <w:lang w:val="en-US" w:eastAsia="pl-PL"/>
        </w:rPr>
      </w:pPr>
      <w:r w:rsidRPr="000519C6">
        <w:rPr>
          <w:rFonts w:ascii="Times" w:eastAsiaTheme="minorEastAsia" w:hAnsi="Times"/>
          <w:kern w:val="0"/>
          <w:lang w:val="en-US" w:eastAsia="pl-PL"/>
        </w:rPr>
        <w:t xml:space="preserve">Pyżalski, J. (2012). </w:t>
      </w:r>
      <w:r w:rsidRPr="000519C6">
        <w:rPr>
          <w:rFonts w:ascii="Times" w:eastAsiaTheme="minorEastAsia" w:hAnsi="Times"/>
          <w:i/>
          <w:kern w:val="0"/>
          <w:lang w:val="en-US" w:eastAsia="pl-PL"/>
        </w:rPr>
        <w:t xml:space="preserve">Agresja elektroniczna i cyberbulling jako nowe ryzykowne zachowania młodzieży. </w:t>
      </w:r>
      <w:r w:rsidRPr="000519C6">
        <w:rPr>
          <w:rFonts w:ascii="Times" w:eastAsiaTheme="minorEastAsia" w:hAnsi="Times"/>
          <w:kern w:val="0"/>
          <w:lang w:val="en-US" w:eastAsia="pl-PL"/>
        </w:rPr>
        <w:t>Oficyna Wydawnicza Impuls</w:t>
      </w:r>
      <w:r>
        <w:rPr>
          <w:rFonts w:ascii="Times" w:eastAsiaTheme="minorEastAsia" w:hAnsi="Times"/>
          <w:kern w:val="0"/>
          <w:lang w:val="en-US" w:eastAsia="pl-PL"/>
        </w:rPr>
        <w:t>, 34-40.</w:t>
      </w:r>
    </w:p>
    <w:p w14:paraId="3CADDDBA"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 xml:space="preserve">Siemieniecki, B., (2003) </w:t>
      </w:r>
      <w:r w:rsidRPr="000519C6">
        <w:rPr>
          <w:rFonts w:ascii="Times" w:hAnsi="Times"/>
          <w:i/>
          <w:sz w:val="24"/>
          <w:szCs w:val="24"/>
          <w:lang w:bidi="en-GB"/>
        </w:rPr>
        <w:t>Edukacja informatyczna i edukacja medialna jako jeden przedmiot kształcenia w szkole podstawowej i gimnazjum</w:t>
      </w:r>
      <w:r w:rsidRPr="000519C6">
        <w:rPr>
          <w:rFonts w:ascii="Times" w:hAnsi="Times"/>
          <w:sz w:val="24"/>
          <w:szCs w:val="24"/>
          <w:lang w:bidi="en-GB"/>
        </w:rPr>
        <w:t>. Chowanna 1, 123</w:t>
      </w:r>
      <w:r w:rsidRPr="000519C6">
        <w:rPr>
          <w:rFonts w:ascii="Lucida Grande" w:hAnsi="Lucida Grande" w:cs="Lucida Grande"/>
          <w:sz w:val="24"/>
          <w:szCs w:val="24"/>
          <w:lang w:bidi="en-GB"/>
        </w:rPr>
        <w:t>‒</w:t>
      </w:r>
      <w:r w:rsidRPr="000519C6">
        <w:rPr>
          <w:rFonts w:ascii="Times" w:hAnsi="Times"/>
          <w:sz w:val="24"/>
          <w:szCs w:val="24"/>
          <w:lang w:bidi="en-GB"/>
        </w:rPr>
        <w:t>131.</w:t>
      </w:r>
    </w:p>
    <w:p w14:paraId="751FF478" w14:textId="77777777" w:rsidR="00EA7559" w:rsidRPr="00E20372" w:rsidRDefault="00EA7559" w:rsidP="00EA7559">
      <w:pPr>
        <w:pStyle w:val="Tekstprzypisudolnego"/>
        <w:spacing w:line="360" w:lineRule="auto"/>
        <w:ind w:left="709" w:hanging="709"/>
        <w:rPr>
          <w:rFonts w:ascii="Times New Roman" w:hAnsi="Times New Roman"/>
          <w:sz w:val="24"/>
          <w:szCs w:val="24"/>
          <w:lang w:bidi="en-GB"/>
        </w:rPr>
      </w:pPr>
      <w:r w:rsidRPr="000519C6">
        <w:rPr>
          <w:rFonts w:ascii="Times" w:hAnsi="Times"/>
          <w:sz w:val="24"/>
          <w:szCs w:val="24"/>
          <w:lang w:bidi="en-GB"/>
        </w:rPr>
        <w:t xml:space="preserve">Silverstone, R. (2007). </w:t>
      </w:r>
      <w:r w:rsidRPr="000519C6">
        <w:rPr>
          <w:rFonts w:ascii="Times" w:hAnsi="Times"/>
          <w:i/>
          <w:sz w:val="24"/>
          <w:szCs w:val="24"/>
          <w:lang w:bidi="en-GB"/>
        </w:rPr>
        <w:t xml:space="preserve">Media and Morality: On the Rise of the Mediapolis. </w:t>
      </w:r>
      <w:r w:rsidRPr="000519C6">
        <w:rPr>
          <w:rFonts w:ascii="Times" w:hAnsi="Times"/>
          <w:sz w:val="24"/>
          <w:szCs w:val="24"/>
          <w:lang w:bidi="en-GB"/>
        </w:rPr>
        <w:t>Cambridge: Polity Press.</w:t>
      </w:r>
      <w:r>
        <w:rPr>
          <w:rFonts w:ascii="Times New Roman" w:hAnsi="Times New Roman"/>
          <w:sz w:val="24"/>
          <w:szCs w:val="24"/>
          <w:lang w:bidi="en-GB"/>
        </w:rPr>
        <w:t xml:space="preserve"> </w:t>
      </w:r>
    </w:p>
    <w:p w14:paraId="65F29FDE"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 xml:space="preserve">Smyl, W. (2007) Szkolna edukacja medialna, </w:t>
      </w:r>
      <w:r w:rsidRPr="000519C6">
        <w:rPr>
          <w:rFonts w:ascii="Times" w:hAnsi="Times"/>
          <w:i/>
          <w:sz w:val="24"/>
          <w:szCs w:val="24"/>
          <w:lang w:bidi="en-GB"/>
        </w:rPr>
        <w:t>Media, Kultura, Społeczeństwo</w:t>
      </w:r>
      <w:r w:rsidRPr="000519C6">
        <w:rPr>
          <w:rFonts w:ascii="Times" w:hAnsi="Times"/>
          <w:sz w:val="24"/>
          <w:szCs w:val="24"/>
          <w:lang w:bidi="en-GB"/>
        </w:rPr>
        <w:t xml:space="preserve"> 2007, 1,  96</w:t>
      </w:r>
      <w:r w:rsidRPr="000519C6">
        <w:rPr>
          <w:rFonts w:ascii="Lucida Grande" w:hAnsi="Lucida Grande" w:cs="Lucida Grande"/>
          <w:sz w:val="24"/>
          <w:szCs w:val="24"/>
          <w:lang w:bidi="en-GB"/>
        </w:rPr>
        <w:t>‒</w:t>
      </w:r>
      <w:r w:rsidRPr="000519C6">
        <w:rPr>
          <w:rFonts w:ascii="Times" w:hAnsi="Times"/>
          <w:sz w:val="24"/>
          <w:szCs w:val="24"/>
          <w:lang w:bidi="en-GB"/>
        </w:rPr>
        <w:t>97.</w:t>
      </w:r>
    </w:p>
    <w:p w14:paraId="27EC06A7" w14:textId="77777777" w:rsidR="00EA7559" w:rsidRPr="00DC61D3" w:rsidRDefault="00EA7559" w:rsidP="00EA7559">
      <w:pPr>
        <w:pStyle w:val="Tekstprzypisudolnego"/>
        <w:spacing w:line="360" w:lineRule="auto"/>
        <w:ind w:left="709" w:hanging="709"/>
        <w:rPr>
          <w:rFonts w:ascii="Times New Roman" w:hAnsi="Times New Roman"/>
          <w:sz w:val="24"/>
          <w:szCs w:val="24"/>
          <w:lang w:bidi="en-GB"/>
        </w:rPr>
      </w:pPr>
      <w:r w:rsidRPr="000519C6">
        <w:rPr>
          <w:rFonts w:ascii="Times" w:hAnsi="Times"/>
          <w:sz w:val="24"/>
          <w:szCs w:val="24"/>
          <w:lang w:bidi="en-GB"/>
        </w:rPr>
        <w:t xml:space="preserve">Strykowski, W. (2007). </w:t>
      </w:r>
      <w:r w:rsidRPr="000519C6">
        <w:rPr>
          <w:rFonts w:ascii="Times" w:hAnsi="Times"/>
          <w:i/>
          <w:sz w:val="24"/>
          <w:szCs w:val="24"/>
          <w:lang w:bidi="en-GB"/>
        </w:rPr>
        <w:t>Kompetencje medialne: pojęcie, obszary, formy kształcenia</w:t>
      </w:r>
      <w:r w:rsidRPr="000519C6">
        <w:rPr>
          <w:rFonts w:ascii="Times" w:hAnsi="Times"/>
          <w:sz w:val="24"/>
          <w:szCs w:val="24"/>
          <w:lang w:bidi="en-GB"/>
        </w:rPr>
        <w:t xml:space="preserve">, [w:] W. Strykowski, W. Skrzydlewski (Eds.), </w:t>
      </w:r>
      <w:r w:rsidRPr="000519C6">
        <w:rPr>
          <w:rFonts w:ascii="Times" w:hAnsi="Times"/>
          <w:i/>
          <w:sz w:val="24"/>
          <w:szCs w:val="24"/>
          <w:lang w:bidi="en-GB"/>
        </w:rPr>
        <w:t>Kompetencje medialne społeczeństwa wiedzy</w:t>
      </w:r>
      <w:r w:rsidRPr="000519C6">
        <w:rPr>
          <w:rFonts w:ascii="Times" w:hAnsi="Times"/>
          <w:sz w:val="24"/>
          <w:szCs w:val="24"/>
          <w:lang w:bidi="en-GB"/>
        </w:rPr>
        <w:t>, Wydawnictwo eMPi</w:t>
      </w:r>
      <w:r>
        <w:rPr>
          <w:rFonts w:ascii="Times" w:hAnsi="Times"/>
          <w:sz w:val="24"/>
          <w:szCs w:val="24"/>
          <w:lang w:bidi="en-GB"/>
        </w:rPr>
        <w:t>, 120-123.</w:t>
      </w:r>
    </w:p>
    <w:p w14:paraId="24C809F0"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Strykowski, W., Kąkolewicz W. &amp; Ubermanowicz M., (2008). Kompetencje nauczyciela edukacji medialnej</w:t>
      </w:r>
      <w:r w:rsidRPr="000519C6">
        <w:rPr>
          <w:rFonts w:ascii="Times" w:hAnsi="Times"/>
          <w:iCs/>
          <w:sz w:val="24"/>
          <w:szCs w:val="24"/>
          <w:lang w:bidi="en-GB"/>
        </w:rPr>
        <w:t xml:space="preserve">. </w:t>
      </w:r>
      <w:r w:rsidRPr="000519C6">
        <w:rPr>
          <w:rFonts w:ascii="Times" w:hAnsi="Times"/>
          <w:i/>
          <w:sz w:val="24"/>
          <w:szCs w:val="24"/>
          <w:lang w:bidi="en-GB"/>
        </w:rPr>
        <w:t xml:space="preserve">Neodidagmata </w:t>
      </w:r>
      <w:r w:rsidRPr="000519C6">
        <w:rPr>
          <w:rFonts w:ascii="Times" w:hAnsi="Times"/>
          <w:sz w:val="24"/>
          <w:szCs w:val="24"/>
          <w:lang w:bidi="en-GB"/>
        </w:rPr>
        <w:t>, 29/30, 55</w:t>
      </w:r>
      <w:r w:rsidRPr="000519C6">
        <w:rPr>
          <w:rFonts w:ascii="Lucida Grande" w:hAnsi="Lucida Grande" w:cs="Lucida Grande"/>
          <w:sz w:val="24"/>
          <w:szCs w:val="24"/>
          <w:lang w:bidi="en-GB"/>
        </w:rPr>
        <w:t>‒</w:t>
      </w:r>
      <w:r w:rsidRPr="000519C6">
        <w:rPr>
          <w:rFonts w:ascii="Times" w:hAnsi="Times"/>
          <w:sz w:val="24"/>
          <w:szCs w:val="24"/>
          <w:lang w:bidi="en-GB"/>
        </w:rPr>
        <w:t>75.</w:t>
      </w:r>
    </w:p>
    <w:p w14:paraId="29320ACA"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Stunża, G. (2011). Pedagogiczna luka uczestnictwa</w:t>
      </w:r>
      <w:r w:rsidRPr="000519C6">
        <w:rPr>
          <w:rFonts w:ascii="Times" w:hAnsi="Times"/>
          <w:i/>
          <w:sz w:val="24"/>
          <w:szCs w:val="24"/>
          <w:lang w:bidi="en-GB"/>
        </w:rPr>
        <w:t>. Kultura i Historia</w:t>
      </w:r>
      <w:r w:rsidRPr="000519C6">
        <w:rPr>
          <w:rFonts w:ascii="Times" w:hAnsi="Times"/>
          <w:sz w:val="24"/>
          <w:szCs w:val="24"/>
          <w:lang w:bidi="en-GB"/>
        </w:rPr>
        <w:t xml:space="preserve">, 20. </w:t>
      </w:r>
    </w:p>
    <w:p w14:paraId="7FD4AF9C" w14:textId="77777777" w:rsidR="00EA7559" w:rsidRPr="000519C6" w:rsidRDefault="00EA7559" w:rsidP="00EA7559">
      <w:pPr>
        <w:pStyle w:val="Tekstprzypisudolnego"/>
        <w:spacing w:line="360" w:lineRule="auto"/>
        <w:ind w:left="709" w:hanging="709"/>
        <w:rPr>
          <w:rFonts w:ascii="Times" w:hAnsi="Times"/>
          <w:sz w:val="24"/>
          <w:szCs w:val="24"/>
          <w:lang w:bidi="en-GB"/>
        </w:rPr>
      </w:pPr>
      <w:r w:rsidRPr="000519C6">
        <w:rPr>
          <w:rFonts w:ascii="Times" w:hAnsi="Times"/>
          <w:sz w:val="24"/>
          <w:szCs w:val="24"/>
          <w:lang w:bidi="en-GB"/>
        </w:rPr>
        <w:t xml:space="preserve">Stunża, G. (2012). </w:t>
      </w:r>
      <w:r w:rsidRPr="000519C6">
        <w:rPr>
          <w:rFonts w:ascii="Times" w:hAnsi="Times"/>
          <w:i/>
          <w:sz w:val="24"/>
          <w:szCs w:val="24"/>
          <w:lang w:bidi="en-GB"/>
        </w:rPr>
        <w:t>Edukacja zaangażowana: (nowe) media w projektach kulturalnych</w:t>
      </w:r>
      <w:r w:rsidRPr="000519C6">
        <w:rPr>
          <w:rFonts w:ascii="Times" w:hAnsi="Times"/>
          <w:sz w:val="24"/>
          <w:szCs w:val="24"/>
          <w:lang w:bidi="en-GB"/>
        </w:rPr>
        <w:t xml:space="preserve"> [w:] A. Stańczuk, I. Żerek, M. Adamiec Maria (Eds.), </w:t>
      </w:r>
      <w:r w:rsidRPr="000519C6">
        <w:rPr>
          <w:rFonts w:ascii="Times" w:hAnsi="Times"/>
          <w:i/>
          <w:sz w:val="24"/>
          <w:szCs w:val="24"/>
          <w:lang w:bidi="en-GB"/>
        </w:rPr>
        <w:t>Nowe media + animacja kultury</w:t>
      </w:r>
      <w:r w:rsidRPr="000519C6">
        <w:rPr>
          <w:rFonts w:ascii="Times" w:hAnsi="Times"/>
          <w:sz w:val="24"/>
          <w:szCs w:val="24"/>
          <w:lang w:bidi="en-GB"/>
        </w:rPr>
        <w:t>. Narodowe Centrum Kultury.</w:t>
      </w:r>
    </w:p>
    <w:p w14:paraId="1D61F7C6" w14:textId="77777777" w:rsidR="00EA7559" w:rsidRPr="00DC61D3" w:rsidRDefault="00EA7559" w:rsidP="00EA7559">
      <w:pPr>
        <w:pStyle w:val="Tekstprzypisudolnego"/>
        <w:spacing w:line="360" w:lineRule="auto"/>
        <w:ind w:left="708" w:hanging="708"/>
        <w:rPr>
          <w:rFonts w:ascii="Times New Roman" w:hAnsi="Times New Roman"/>
          <w:sz w:val="24"/>
          <w:szCs w:val="24"/>
        </w:rPr>
      </w:pPr>
      <w:r w:rsidRPr="000519C6">
        <w:rPr>
          <w:rFonts w:ascii="Times" w:hAnsi="Times"/>
          <w:sz w:val="24"/>
          <w:szCs w:val="24"/>
        </w:rPr>
        <w:t xml:space="preserve">Szkudlarek, T. (2010). </w:t>
      </w:r>
      <w:r w:rsidRPr="000519C6">
        <w:rPr>
          <w:rFonts w:ascii="Times" w:hAnsi="Times"/>
          <w:i/>
          <w:sz w:val="24"/>
          <w:szCs w:val="24"/>
        </w:rPr>
        <w:t xml:space="preserve">Media. Szkic z filozofii i pedagogiki dystansu. </w:t>
      </w:r>
      <w:r w:rsidRPr="000519C6">
        <w:rPr>
          <w:rFonts w:ascii="Times" w:hAnsi="Times"/>
          <w:sz w:val="24"/>
          <w:szCs w:val="24"/>
        </w:rPr>
        <w:t>Oficyna Wydawnicza Impuls</w:t>
      </w:r>
      <w:r>
        <w:rPr>
          <w:rFonts w:ascii="Times" w:hAnsi="Times"/>
          <w:sz w:val="24"/>
          <w:szCs w:val="24"/>
        </w:rPr>
        <w:t>, 23-30.</w:t>
      </w:r>
    </w:p>
    <w:p w14:paraId="526B2365" w14:textId="77777777" w:rsidR="00EA7559" w:rsidRPr="000519C6" w:rsidRDefault="00EA7559" w:rsidP="00EA7559">
      <w:pPr>
        <w:pStyle w:val="Tekstprzypisudolnego"/>
        <w:spacing w:line="360" w:lineRule="auto"/>
        <w:ind w:left="708" w:hanging="708"/>
        <w:rPr>
          <w:rFonts w:ascii="Times" w:hAnsi="Times"/>
          <w:sz w:val="24"/>
          <w:szCs w:val="24"/>
        </w:rPr>
      </w:pPr>
      <w:r w:rsidRPr="000519C6">
        <w:rPr>
          <w:rFonts w:ascii="Times" w:hAnsi="Times"/>
          <w:sz w:val="24"/>
          <w:szCs w:val="24"/>
        </w:rPr>
        <w:t xml:space="preserve">Tanaś, W. (2017). </w:t>
      </w:r>
      <w:r w:rsidRPr="000519C6">
        <w:rPr>
          <w:rFonts w:ascii="Times" w:hAnsi="Times"/>
          <w:i/>
          <w:sz w:val="24"/>
          <w:szCs w:val="24"/>
        </w:rPr>
        <w:t xml:space="preserve">Edukacja wobec mediów. Teoria i praktyka. </w:t>
      </w:r>
      <w:r w:rsidRPr="000519C6">
        <w:rPr>
          <w:rFonts w:ascii="Times" w:hAnsi="Times"/>
          <w:sz w:val="24"/>
          <w:szCs w:val="24"/>
        </w:rPr>
        <w:t>APS, 12-16.</w:t>
      </w:r>
    </w:p>
    <w:p w14:paraId="7339C9EE" w14:textId="77777777" w:rsidR="00EA7559" w:rsidRPr="000519C6" w:rsidRDefault="00EA7559" w:rsidP="00EA7559">
      <w:pPr>
        <w:spacing w:after="0" w:line="360" w:lineRule="auto"/>
        <w:ind w:left="708" w:hanging="708"/>
        <w:rPr>
          <w:rFonts w:ascii="Times" w:eastAsia="Times New Roman" w:hAnsi="Times"/>
          <w:kern w:val="0"/>
          <w:lang w:eastAsia="pl-PL"/>
        </w:rPr>
      </w:pPr>
      <w:r w:rsidRPr="000519C6">
        <w:rPr>
          <w:rFonts w:ascii="Times" w:eastAsia="Times New Roman" w:hAnsi="Times"/>
          <w:kern w:val="0"/>
          <w:shd w:val="clear" w:color="auto" w:fill="FFFFFF"/>
          <w:lang w:eastAsia="pl-PL"/>
        </w:rPr>
        <w:t>Van Dijck, J. (2013). </w:t>
      </w:r>
      <w:r w:rsidRPr="000519C6">
        <w:rPr>
          <w:rFonts w:ascii="Times" w:eastAsia="Times New Roman" w:hAnsi="Times"/>
          <w:i/>
          <w:iCs/>
          <w:kern w:val="0"/>
          <w:shd w:val="clear" w:color="auto" w:fill="FFFFFF"/>
          <w:lang w:eastAsia="pl-PL"/>
        </w:rPr>
        <w:t>The culture of connectivity: A critical history of social media</w:t>
      </w:r>
      <w:r w:rsidRPr="000519C6">
        <w:rPr>
          <w:rFonts w:ascii="Times" w:eastAsia="Times New Roman" w:hAnsi="Times"/>
          <w:kern w:val="0"/>
          <w:shd w:val="clear" w:color="auto" w:fill="FFFFFF"/>
          <w:lang w:eastAsia="pl-PL"/>
        </w:rPr>
        <w:t>. Oxford University Press.Völkers, M. D.  (2025). TikTok Sounds and the Formation of Youth Media Rituals in Transnational Contexts. J</w:t>
      </w:r>
      <w:r w:rsidRPr="000519C6">
        <w:rPr>
          <w:rFonts w:ascii="Times" w:eastAsia="Times New Roman" w:hAnsi="Times"/>
          <w:i/>
          <w:iCs/>
          <w:kern w:val="0"/>
          <w:shd w:val="clear" w:color="auto" w:fill="FFFFFF"/>
          <w:lang w:eastAsia="pl-PL"/>
        </w:rPr>
        <w:t>ournal of linguistics and communication studies</w:t>
      </w:r>
      <w:r w:rsidRPr="000519C6">
        <w:rPr>
          <w:rFonts w:ascii="Times" w:eastAsia="Times New Roman" w:hAnsi="Times"/>
          <w:kern w:val="0"/>
          <w:shd w:val="clear" w:color="auto" w:fill="FFFFFF"/>
          <w:lang w:eastAsia="pl-PL"/>
        </w:rPr>
        <w:t>, </w:t>
      </w:r>
      <w:r w:rsidRPr="000519C6">
        <w:rPr>
          <w:rFonts w:ascii="Times" w:eastAsia="Times New Roman" w:hAnsi="Times"/>
          <w:i/>
          <w:iCs/>
          <w:kern w:val="0"/>
          <w:shd w:val="clear" w:color="auto" w:fill="FFFFFF"/>
          <w:lang w:eastAsia="pl-PL"/>
        </w:rPr>
        <w:t>4</w:t>
      </w:r>
      <w:r w:rsidRPr="000519C6">
        <w:rPr>
          <w:rFonts w:ascii="Times" w:eastAsia="Times New Roman" w:hAnsi="Times"/>
          <w:kern w:val="0"/>
          <w:shd w:val="clear" w:color="auto" w:fill="FFFFFF"/>
          <w:lang w:eastAsia="pl-PL"/>
        </w:rPr>
        <w:t>(4), 32–41.</w:t>
      </w:r>
      <w:r w:rsidRPr="000519C6">
        <w:rPr>
          <w:rFonts w:ascii="Times New Roman" w:eastAsia="Times New Roman" w:hAnsi="Times New Roman"/>
          <w:kern w:val="0"/>
          <w:shd w:val="clear" w:color="auto" w:fill="FFFFFF"/>
          <w:lang w:eastAsia="pl-PL"/>
        </w:rPr>
        <w:t xml:space="preserve"> </w:t>
      </w:r>
      <w:r w:rsidRPr="000519C6">
        <w:rPr>
          <w:rFonts w:eastAsia="Times New Roman"/>
        </w:rPr>
        <w:t>DOI: </w:t>
      </w:r>
      <w:hyperlink r:id="rId12" w:history="1">
        <w:r w:rsidRPr="000519C6">
          <w:rPr>
            <w:rStyle w:val="Hipercze"/>
            <w:rFonts w:eastAsia="Times New Roman"/>
            <w:sz w:val="21"/>
            <w:szCs w:val="21"/>
          </w:rPr>
          <w:t>https://doi.org/10.56397/JLCS.2025.10.03</w:t>
        </w:r>
      </w:hyperlink>
    </w:p>
    <w:p w14:paraId="0B04B36A" w14:textId="77777777" w:rsidR="00EA7559" w:rsidRPr="000519C6" w:rsidRDefault="00EA7559" w:rsidP="00EA7559">
      <w:pPr>
        <w:spacing w:line="360" w:lineRule="auto"/>
        <w:ind w:left="708" w:hanging="708"/>
        <w:rPr>
          <w:rFonts w:ascii="Times" w:eastAsia="Times New Roman" w:hAnsi="Times"/>
          <w:kern w:val="0"/>
          <w:lang w:eastAsia="pl-PL"/>
        </w:rPr>
      </w:pPr>
      <w:r w:rsidRPr="000519C6">
        <w:rPr>
          <w:rFonts w:ascii="Times" w:eastAsia="Times New Roman" w:hAnsi="Times"/>
          <w:kern w:val="0"/>
          <w:shd w:val="clear" w:color="auto" w:fill="FFFFFF"/>
          <w:lang w:eastAsia="pl-PL"/>
        </w:rPr>
        <w:t xml:space="preserve">Vogel, E.A., Rose, J. P., Roberts, L. R., &amp; Eckles, K. (2014). Social comparison, social media and self-esteem. </w:t>
      </w:r>
      <w:r w:rsidRPr="000519C6">
        <w:rPr>
          <w:rFonts w:ascii="Times" w:eastAsia="Times New Roman" w:hAnsi="Times"/>
          <w:i/>
          <w:kern w:val="0"/>
          <w:shd w:val="clear" w:color="auto" w:fill="FFFFFF"/>
          <w:lang w:eastAsia="pl-PL"/>
        </w:rPr>
        <w:t>Psychology of Popular Media Culture</w:t>
      </w:r>
      <w:r w:rsidRPr="000519C6">
        <w:rPr>
          <w:rFonts w:ascii="Times" w:eastAsia="Times New Roman" w:hAnsi="Times"/>
          <w:kern w:val="0"/>
          <w:shd w:val="clear" w:color="auto" w:fill="FFFFFF"/>
          <w:lang w:eastAsia="pl-PL"/>
        </w:rPr>
        <w:t>, 3 (4), 206-222. https://doi.org/10.1037/ppm0000047</w:t>
      </w:r>
    </w:p>
    <w:p w14:paraId="4E63980A" w14:textId="77777777" w:rsidR="00EA7559" w:rsidRPr="000519C6" w:rsidRDefault="00EA7559" w:rsidP="00EA7559">
      <w:pPr>
        <w:spacing w:after="0" w:line="360" w:lineRule="auto"/>
        <w:ind w:left="709" w:hanging="709"/>
        <w:jc w:val="both"/>
        <w:rPr>
          <w:rFonts w:ascii="Times" w:hAnsi="Times"/>
          <w:lang w:bidi="en-GB"/>
        </w:rPr>
      </w:pPr>
      <w:r w:rsidRPr="000519C6">
        <w:rPr>
          <w:rFonts w:ascii="Times" w:hAnsi="Times"/>
          <w:lang w:bidi="en-GB"/>
        </w:rPr>
        <w:t xml:space="preserve">Witczak, H. (2012). </w:t>
      </w:r>
      <w:r w:rsidRPr="000519C6">
        <w:rPr>
          <w:rFonts w:ascii="Times" w:hAnsi="Times"/>
          <w:i/>
          <w:lang w:bidi="en-GB"/>
        </w:rPr>
        <w:t>Problemy i twierdzenia naukowe</w:t>
      </w:r>
      <w:r w:rsidRPr="000519C6">
        <w:rPr>
          <w:rFonts w:ascii="Times" w:hAnsi="Times"/>
          <w:lang w:bidi="en-GB"/>
        </w:rPr>
        <w:t xml:space="preserve"> w: M. Sławińska &amp; H. Witczak(Eds.). </w:t>
      </w:r>
      <w:r w:rsidRPr="000519C6">
        <w:rPr>
          <w:rFonts w:ascii="Times" w:hAnsi="Times"/>
          <w:i/>
          <w:lang w:bidi="en-GB"/>
        </w:rPr>
        <w:t>Podstawy metodologiczne prac doktorskich</w:t>
      </w:r>
      <w:r w:rsidRPr="000519C6">
        <w:rPr>
          <w:rFonts w:ascii="Times" w:hAnsi="Times"/>
          <w:iCs/>
          <w:lang w:bidi="en-GB"/>
        </w:rPr>
        <w:t>.</w:t>
      </w:r>
      <w:r w:rsidRPr="000519C6">
        <w:rPr>
          <w:rFonts w:ascii="Times" w:hAnsi="Times"/>
          <w:lang w:bidi="en-GB"/>
        </w:rPr>
        <w:t xml:space="preserve"> PWE.</w:t>
      </w:r>
    </w:p>
    <w:p w14:paraId="5DCC89C1" w14:textId="77777777" w:rsidR="00EA7559" w:rsidRPr="000519C6" w:rsidRDefault="00EA7559" w:rsidP="00EA7559">
      <w:pPr>
        <w:spacing w:after="0" w:line="360" w:lineRule="auto"/>
        <w:ind w:left="709" w:hanging="709"/>
        <w:jc w:val="both"/>
        <w:rPr>
          <w:rFonts w:ascii="Times" w:hAnsi="Times"/>
          <w:lang w:bidi="en-GB"/>
        </w:rPr>
      </w:pPr>
      <w:r w:rsidRPr="000519C6">
        <w:rPr>
          <w:rFonts w:ascii="Times" w:hAnsi="Times"/>
          <w:lang w:bidi="en-GB"/>
        </w:rPr>
        <w:t xml:space="preserve">Wróblewski, M. (2019). </w:t>
      </w:r>
      <w:r w:rsidRPr="000519C6">
        <w:rPr>
          <w:rFonts w:ascii="Times" w:hAnsi="Times"/>
          <w:i/>
          <w:lang w:bidi="en-GB"/>
        </w:rPr>
        <w:t>Kultura algorytmów</w:t>
      </w:r>
      <w:r w:rsidRPr="000519C6">
        <w:rPr>
          <w:rFonts w:ascii="Times" w:hAnsi="Times"/>
          <w:lang w:bidi="en-GB"/>
        </w:rPr>
        <w:t>. Wydawnictwo Naukowe Katedra.</w:t>
      </w:r>
    </w:p>
    <w:p w14:paraId="0ACD8DF4" w14:textId="77777777" w:rsidR="00EA7559" w:rsidRPr="000519C6" w:rsidRDefault="00EA7559" w:rsidP="00EA7559">
      <w:pPr>
        <w:spacing w:line="360" w:lineRule="auto"/>
        <w:ind w:left="708" w:hanging="708"/>
        <w:rPr>
          <w:rFonts w:ascii="Times" w:eastAsia="Times New Roman" w:hAnsi="Times"/>
        </w:rPr>
      </w:pPr>
      <w:r w:rsidRPr="000519C6">
        <w:rPr>
          <w:rFonts w:ascii="Times" w:hAnsi="Times"/>
          <w:lang w:bidi="en-GB"/>
        </w:rPr>
        <w:t xml:space="preserve">Wąchol, G. (2024). </w:t>
      </w:r>
      <w:r w:rsidRPr="000519C6">
        <w:rPr>
          <w:rFonts w:ascii="Times" w:eastAsia="Times New Roman" w:hAnsi="Times"/>
          <w:i/>
        </w:rPr>
        <w:t xml:space="preserve">Media społecznościowe jako przestrzeń aktywności młodzieży. </w:t>
      </w:r>
      <w:r w:rsidRPr="000519C6">
        <w:rPr>
          <w:rFonts w:ascii="Times" w:eastAsia="Times New Roman" w:hAnsi="Times"/>
        </w:rPr>
        <w:t xml:space="preserve">Współczesne przestrzenie aktywności młodzieży. 177-192. </w:t>
      </w:r>
      <w:r w:rsidRPr="000519C6">
        <w:rPr>
          <w:rStyle w:val="label"/>
          <w:rFonts w:ascii="Times" w:eastAsia="Times New Roman" w:hAnsi="Times"/>
          <w:bCs/>
          <w:shd w:val="clear" w:color="auto" w:fill="FFFFFF"/>
        </w:rPr>
        <w:t>DOI: </w:t>
      </w:r>
      <w:hyperlink r:id="rId13" w:history="1">
        <w:r w:rsidRPr="000519C6">
          <w:rPr>
            <w:rStyle w:val="Hipercze"/>
            <w:rFonts w:ascii="Times" w:eastAsia="Times New Roman" w:hAnsi="Times"/>
          </w:rPr>
          <w:t>https://doi.org/10.15633/8788363241940.08</w:t>
        </w:r>
      </w:hyperlink>
    </w:p>
    <w:p w14:paraId="0ACB7F25" w14:textId="77777777" w:rsidR="00EA7559" w:rsidRPr="000519C6" w:rsidRDefault="00EA7559" w:rsidP="00EA7559">
      <w:pPr>
        <w:pStyle w:val="Tekstprzypisudolnego"/>
        <w:spacing w:line="360" w:lineRule="auto"/>
        <w:ind w:left="708" w:hanging="708"/>
        <w:rPr>
          <w:rFonts w:ascii="Times" w:hAnsi="Times"/>
          <w:sz w:val="24"/>
          <w:szCs w:val="24"/>
        </w:rPr>
      </w:pPr>
      <w:r w:rsidRPr="000519C6">
        <w:rPr>
          <w:rFonts w:ascii="Times" w:hAnsi="Times"/>
          <w:sz w:val="24"/>
          <w:szCs w:val="24"/>
        </w:rPr>
        <w:t>Zając, J. (2021). Nauczyciel w erze cyfrowej</w:t>
      </w:r>
      <w:r w:rsidRPr="000519C6">
        <w:rPr>
          <w:rFonts w:ascii="Times" w:hAnsi="Times"/>
          <w:i/>
          <w:sz w:val="24"/>
          <w:szCs w:val="24"/>
        </w:rPr>
        <w:t>. Edukacja medialna</w:t>
      </w:r>
      <w:r w:rsidRPr="000519C6">
        <w:rPr>
          <w:rFonts w:ascii="Times" w:hAnsi="Times"/>
          <w:sz w:val="24"/>
          <w:szCs w:val="24"/>
        </w:rPr>
        <w:t>,  14(2), 9-20.</w:t>
      </w:r>
    </w:p>
    <w:bookmarkEnd w:id="1"/>
    <w:p w14:paraId="3BD95614" w14:textId="77777777" w:rsidR="00EA7559" w:rsidRPr="000519C6" w:rsidRDefault="00EA7559" w:rsidP="00EA7559">
      <w:pPr>
        <w:spacing w:line="360" w:lineRule="auto"/>
        <w:jc w:val="both"/>
        <w:rPr>
          <w:rFonts w:ascii="Times" w:hAnsi="Times"/>
        </w:rPr>
      </w:pPr>
    </w:p>
    <w:p w14:paraId="1BC81A7B" w14:textId="77777777" w:rsidR="00AB1834" w:rsidRDefault="00AB1834"/>
    <w:sectPr w:rsidR="00AB1834" w:rsidSect="00BC6825">
      <w:head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4EFCA" w14:textId="77777777" w:rsidR="00BC6825" w:rsidRDefault="00BC6825">
      <w:pPr>
        <w:spacing w:after="0" w:line="240" w:lineRule="auto"/>
      </w:pPr>
      <w:r>
        <w:separator/>
      </w:r>
    </w:p>
  </w:endnote>
  <w:endnote w:type="continuationSeparator" w:id="0">
    <w:p w14:paraId="72BFAD07" w14:textId="77777777" w:rsidR="00BC6825" w:rsidRDefault="00BC6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C92A9" w14:textId="77777777" w:rsidR="00BC6825" w:rsidRDefault="00BC6825">
      <w:pPr>
        <w:spacing w:after="0" w:line="240" w:lineRule="auto"/>
      </w:pPr>
      <w:r>
        <w:separator/>
      </w:r>
    </w:p>
  </w:footnote>
  <w:footnote w:type="continuationSeparator" w:id="0">
    <w:p w14:paraId="16CDE041" w14:textId="77777777" w:rsidR="00BC6825" w:rsidRDefault="00BC682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1E688" w14:textId="77777777" w:rsidR="00BC6825" w:rsidRDefault="00BC6825">
    <w:pPr>
      <w:pStyle w:val="Nagwek"/>
      <w:jc w:val="center"/>
    </w:pPr>
    <w:r>
      <w:fldChar w:fldCharType="begin"/>
    </w:r>
    <w:r>
      <w:instrText>PAGE   \* MERGEFORMAT</w:instrText>
    </w:r>
    <w:r>
      <w:fldChar w:fldCharType="separate"/>
    </w:r>
    <w:r w:rsidR="00484303">
      <w:rPr>
        <w:noProof/>
      </w:rPr>
      <w:t>1</w:t>
    </w:r>
    <w:r>
      <w:fldChar w:fldCharType="end"/>
    </w:r>
  </w:p>
  <w:p w14:paraId="1F55C26E" w14:textId="77777777" w:rsidR="00BC6825" w:rsidRDefault="00BC6825">
    <w:pPr>
      <w:pStyle w:val="Nagwek"/>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F5859"/>
    <w:multiLevelType w:val="hybridMultilevel"/>
    <w:tmpl w:val="15B2B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DB69A7"/>
    <w:multiLevelType w:val="hybridMultilevel"/>
    <w:tmpl w:val="6EFEA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1756D2"/>
    <w:multiLevelType w:val="hybridMultilevel"/>
    <w:tmpl w:val="AD1A2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7C0166"/>
    <w:multiLevelType w:val="hybridMultilevel"/>
    <w:tmpl w:val="B6AC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2068B9"/>
    <w:multiLevelType w:val="multilevel"/>
    <w:tmpl w:val="878C8B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78120D34"/>
    <w:multiLevelType w:val="hybridMultilevel"/>
    <w:tmpl w:val="F5AED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559"/>
    <w:rsid w:val="001B2590"/>
    <w:rsid w:val="0033075D"/>
    <w:rsid w:val="00423EDE"/>
    <w:rsid w:val="00484303"/>
    <w:rsid w:val="00575DEA"/>
    <w:rsid w:val="007E517C"/>
    <w:rsid w:val="008044F6"/>
    <w:rsid w:val="00885E60"/>
    <w:rsid w:val="009A55FF"/>
    <w:rsid w:val="00A275A2"/>
    <w:rsid w:val="00AA4B41"/>
    <w:rsid w:val="00AB1834"/>
    <w:rsid w:val="00AE4F3B"/>
    <w:rsid w:val="00BC6825"/>
    <w:rsid w:val="00D625D3"/>
    <w:rsid w:val="00DB5D17"/>
    <w:rsid w:val="00E8006F"/>
    <w:rsid w:val="00EA7559"/>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8965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7559"/>
    <w:pPr>
      <w:spacing w:after="160" w:line="278" w:lineRule="auto"/>
    </w:pPr>
    <w:rPr>
      <w:rFonts w:ascii="Calibri" w:eastAsia="Calibri" w:hAnsi="Calibri" w:cs="Times New Roman"/>
      <w:kern w:val="2"/>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EA7559"/>
    <w:pPr>
      <w:spacing w:after="0" w:line="240" w:lineRule="auto"/>
      <w:jc w:val="both"/>
    </w:pPr>
    <w:rPr>
      <w:rFonts w:eastAsia="Times New Roman"/>
      <w:sz w:val="20"/>
      <w:szCs w:val="20"/>
    </w:rPr>
  </w:style>
  <w:style w:type="character" w:customStyle="1" w:styleId="TekstprzypisudolnegoZnak">
    <w:name w:val="Tekst przypisu dolnego Znak"/>
    <w:basedOn w:val="Domylnaczcionkaakapitu"/>
    <w:link w:val="Tekstprzypisudolnego"/>
    <w:uiPriority w:val="99"/>
    <w:rsid w:val="00EA7559"/>
    <w:rPr>
      <w:rFonts w:ascii="Calibri" w:eastAsia="Times New Roman" w:hAnsi="Calibri" w:cs="Times New Roman"/>
      <w:kern w:val="2"/>
      <w:sz w:val="20"/>
      <w:szCs w:val="20"/>
      <w:lang w:val="pl-PL" w:eastAsia="en-US"/>
    </w:rPr>
  </w:style>
  <w:style w:type="paragraph" w:styleId="Nagwek">
    <w:name w:val="header"/>
    <w:basedOn w:val="Normalny"/>
    <w:link w:val="NagwekZnak"/>
    <w:uiPriority w:val="99"/>
    <w:unhideWhenUsed/>
    <w:rsid w:val="00EA7559"/>
    <w:pPr>
      <w:tabs>
        <w:tab w:val="center" w:pos="4536"/>
        <w:tab w:val="right" w:pos="9072"/>
      </w:tabs>
      <w:spacing w:after="0" w:line="240" w:lineRule="auto"/>
      <w:jc w:val="both"/>
    </w:pPr>
    <w:rPr>
      <w:rFonts w:eastAsia="Times New Roman"/>
    </w:rPr>
  </w:style>
  <w:style w:type="character" w:customStyle="1" w:styleId="NagwekZnak">
    <w:name w:val="Nagłówek Znak"/>
    <w:basedOn w:val="Domylnaczcionkaakapitu"/>
    <w:link w:val="Nagwek"/>
    <w:uiPriority w:val="99"/>
    <w:rsid w:val="00EA7559"/>
    <w:rPr>
      <w:rFonts w:ascii="Calibri" w:eastAsia="Times New Roman" w:hAnsi="Calibri" w:cs="Times New Roman"/>
      <w:kern w:val="2"/>
      <w:lang w:val="pl-PL" w:eastAsia="en-US"/>
    </w:rPr>
  </w:style>
  <w:style w:type="paragraph" w:styleId="Akapitzlist">
    <w:name w:val="List Paragraph"/>
    <w:basedOn w:val="Normalny"/>
    <w:uiPriority w:val="34"/>
    <w:qFormat/>
    <w:rsid w:val="00EA7559"/>
    <w:pPr>
      <w:ind w:left="720"/>
      <w:contextualSpacing/>
    </w:pPr>
  </w:style>
  <w:style w:type="paragraph" w:styleId="NormalnyWeb">
    <w:name w:val="Normal (Web)"/>
    <w:basedOn w:val="Normalny"/>
    <w:uiPriority w:val="99"/>
    <w:unhideWhenUsed/>
    <w:rsid w:val="00EA7559"/>
    <w:pPr>
      <w:spacing w:before="100" w:beforeAutospacing="1" w:after="100" w:afterAutospacing="1" w:line="240" w:lineRule="auto"/>
    </w:pPr>
    <w:rPr>
      <w:rFonts w:ascii="Times" w:eastAsiaTheme="minorEastAsia" w:hAnsi="Times"/>
      <w:kern w:val="0"/>
      <w:sz w:val="20"/>
      <w:szCs w:val="20"/>
      <w:lang w:eastAsia="pl-PL"/>
    </w:rPr>
  </w:style>
  <w:style w:type="character" w:styleId="Hipercze">
    <w:name w:val="Hyperlink"/>
    <w:basedOn w:val="Domylnaczcionkaakapitu"/>
    <w:uiPriority w:val="99"/>
    <w:unhideWhenUsed/>
    <w:rsid w:val="00EA7559"/>
    <w:rPr>
      <w:color w:val="0000FF" w:themeColor="hyperlink"/>
      <w:u w:val="single"/>
    </w:rPr>
  </w:style>
  <w:style w:type="character" w:styleId="Wyrnienie">
    <w:name w:val="Emphasis"/>
    <w:basedOn w:val="Domylnaczcionkaakapitu"/>
    <w:uiPriority w:val="20"/>
    <w:qFormat/>
    <w:rsid w:val="00EA7559"/>
    <w:rPr>
      <w:i/>
      <w:iCs/>
    </w:rPr>
  </w:style>
  <w:style w:type="character" w:customStyle="1" w:styleId="label">
    <w:name w:val="label"/>
    <w:basedOn w:val="Domylnaczcionkaakapitu"/>
    <w:rsid w:val="00EA755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7559"/>
    <w:pPr>
      <w:spacing w:after="160" w:line="278" w:lineRule="auto"/>
    </w:pPr>
    <w:rPr>
      <w:rFonts w:ascii="Calibri" w:eastAsia="Calibri" w:hAnsi="Calibri" w:cs="Times New Roman"/>
      <w:kern w:val="2"/>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EA7559"/>
    <w:pPr>
      <w:spacing w:after="0" w:line="240" w:lineRule="auto"/>
      <w:jc w:val="both"/>
    </w:pPr>
    <w:rPr>
      <w:rFonts w:eastAsia="Times New Roman"/>
      <w:sz w:val="20"/>
      <w:szCs w:val="20"/>
    </w:rPr>
  </w:style>
  <w:style w:type="character" w:customStyle="1" w:styleId="TekstprzypisudolnegoZnak">
    <w:name w:val="Tekst przypisu dolnego Znak"/>
    <w:basedOn w:val="Domylnaczcionkaakapitu"/>
    <w:link w:val="Tekstprzypisudolnego"/>
    <w:uiPriority w:val="99"/>
    <w:rsid w:val="00EA7559"/>
    <w:rPr>
      <w:rFonts w:ascii="Calibri" w:eastAsia="Times New Roman" w:hAnsi="Calibri" w:cs="Times New Roman"/>
      <w:kern w:val="2"/>
      <w:sz w:val="20"/>
      <w:szCs w:val="20"/>
      <w:lang w:val="pl-PL" w:eastAsia="en-US"/>
    </w:rPr>
  </w:style>
  <w:style w:type="paragraph" w:styleId="Nagwek">
    <w:name w:val="header"/>
    <w:basedOn w:val="Normalny"/>
    <w:link w:val="NagwekZnak"/>
    <w:uiPriority w:val="99"/>
    <w:unhideWhenUsed/>
    <w:rsid w:val="00EA7559"/>
    <w:pPr>
      <w:tabs>
        <w:tab w:val="center" w:pos="4536"/>
        <w:tab w:val="right" w:pos="9072"/>
      </w:tabs>
      <w:spacing w:after="0" w:line="240" w:lineRule="auto"/>
      <w:jc w:val="both"/>
    </w:pPr>
    <w:rPr>
      <w:rFonts w:eastAsia="Times New Roman"/>
    </w:rPr>
  </w:style>
  <w:style w:type="character" w:customStyle="1" w:styleId="NagwekZnak">
    <w:name w:val="Nagłówek Znak"/>
    <w:basedOn w:val="Domylnaczcionkaakapitu"/>
    <w:link w:val="Nagwek"/>
    <w:uiPriority w:val="99"/>
    <w:rsid w:val="00EA7559"/>
    <w:rPr>
      <w:rFonts w:ascii="Calibri" w:eastAsia="Times New Roman" w:hAnsi="Calibri" w:cs="Times New Roman"/>
      <w:kern w:val="2"/>
      <w:lang w:val="pl-PL" w:eastAsia="en-US"/>
    </w:rPr>
  </w:style>
  <w:style w:type="paragraph" w:styleId="Akapitzlist">
    <w:name w:val="List Paragraph"/>
    <w:basedOn w:val="Normalny"/>
    <w:uiPriority w:val="34"/>
    <w:qFormat/>
    <w:rsid w:val="00EA7559"/>
    <w:pPr>
      <w:ind w:left="720"/>
      <w:contextualSpacing/>
    </w:pPr>
  </w:style>
  <w:style w:type="paragraph" w:styleId="NormalnyWeb">
    <w:name w:val="Normal (Web)"/>
    <w:basedOn w:val="Normalny"/>
    <w:uiPriority w:val="99"/>
    <w:unhideWhenUsed/>
    <w:rsid w:val="00EA7559"/>
    <w:pPr>
      <w:spacing w:before="100" w:beforeAutospacing="1" w:after="100" w:afterAutospacing="1" w:line="240" w:lineRule="auto"/>
    </w:pPr>
    <w:rPr>
      <w:rFonts w:ascii="Times" w:eastAsiaTheme="minorEastAsia" w:hAnsi="Times"/>
      <w:kern w:val="0"/>
      <w:sz w:val="20"/>
      <w:szCs w:val="20"/>
      <w:lang w:eastAsia="pl-PL"/>
    </w:rPr>
  </w:style>
  <w:style w:type="character" w:styleId="Hipercze">
    <w:name w:val="Hyperlink"/>
    <w:basedOn w:val="Domylnaczcionkaakapitu"/>
    <w:uiPriority w:val="99"/>
    <w:unhideWhenUsed/>
    <w:rsid w:val="00EA7559"/>
    <w:rPr>
      <w:color w:val="0000FF" w:themeColor="hyperlink"/>
      <w:u w:val="single"/>
    </w:rPr>
  </w:style>
  <w:style w:type="character" w:styleId="Wyrnienie">
    <w:name w:val="Emphasis"/>
    <w:basedOn w:val="Domylnaczcionkaakapitu"/>
    <w:uiPriority w:val="20"/>
    <w:qFormat/>
    <w:rsid w:val="00EA7559"/>
    <w:rPr>
      <w:i/>
      <w:iCs/>
    </w:rPr>
  </w:style>
  <w:style w:type="character" w:customStyle="1" w:styleId="label">
    <w:name w:val="label"/>
    <w:basedOn w:val="Domylnaczcionkaakapitu"/>
    <w:rsid w:val="00EA7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doi.org/10.1111/j.1467-9752.2008.00658.x" TargetMode="External"/><Relationship Id="rId12" Type="http://schemas.openxmlformats.org/officeDocument/2006/relationships/hyperlink" Target="https://doi.org/10.56397/JLCS.2025.10.03" TargetMode="External"/><Relationship Id="rId13" Type="http://schemas.openxmlformats.org/officeDocument/2006/relationships/hyperlink" Target="https://doi.org/10.15633/8788363241940.08"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i.org/10.4467/25442554.MBK.25.006.21926" TargetMode="External"/><Relationship Id="rId9" Type="http://schemas.openxmlformats.org/officeDocument/2006/relationships/hyperlink" Target="https://doi.org/10.1080/19443927.2021.1915617" TargetMode="External"/><Relationship Id="rId10" Type="http://schemas.openxmlformats.org/officeDocument/2006/relationships/hyperlink" Target="https://www.nytimes.com/2019/03/10/style/what-is-tik-tok.htm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18</Pages>
  <Words>5555</Words>
  <Characters>33336</Characters>
  <Application>Microsoft Macintosh Word</Application>
  <DocSecurity>0</DocSecurity>
  <Lines>277</Lines>
  <Paragraphs>77</Paragraphs>
  <ScaleCrop>false</ScaleCrop>
  <Company/>
  <LinksUpToDate>false</LinksUpToDate>
  <CharactersWithSpaces>38814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Adamczyk</dc:creator>
  <cp:keywords/>
  <dc:description/>
  <cp:lastModifiedBy>Kasia Adamczyk</cp:lastModifiedBy>
  <cp:revision>16</cp:revision>
  <dcterms:created xsi:type="dcterms:W3CDTF">2025-12-24T08:32:00Z</dcterms:created>
  <dcterms:modified xsi:type="dcterms:W3CDTF">2026-02-04T13:21:00Z</dcterms:modified>
</cp:coreProperties>
</file>